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hAnsi="宋体"/>
          <w:b/>
          <w:color w:val="auto"/>
          <w:kern w:val="0"/>
          <w:sz w:val="44"/>
          <w:szCs w:val="48"/>
          <w:highlight w:val="none"/>
        </w:rPr>
      </w:pPr>
    </w:p>
    <w:p>
      <w:pPr>
        <w:widowControl/>
        <w:spacing w:line="240" w:lineRule="atLeast"/>
        <w:jc w:val="center"/>
        <w:rPr>
          <w:rFonts w:ascii="方正小标宋简体" w:hAnsi="方正小标宋简体" w:eastAsia="方正小标宋简体" w:cs="方正小标宋简体"/>
          <w:bCs/>
          <w:color w:val="auto"/>
          <w:kern w:val="0"/>
          <w:sz w:val="40"/>
          <w:szCs w:val="44"/>
          <w:highlight w:val="none"/>
        </w:rPr>
      </w:pPr>
      <w:r>
        <w:rPr>
          <w:rFonts w:hint="eastAsia" w:ascii="方正小标宋简体" w:hAnsi="方正小标宋简体" w:eastAsia="方正小标宋简体" w:cs="方正小标宋简体"/>
          <w:bCs/>
          <w:color w:val="auto"/>
          <w:kern w:val="0"/>
          <w:sz w:val="40"/>
          <w:szCs w:val="44"/>
          <w:highlight w:val="none"/>
        </w:rPr>
        <w:t>深圳市国资委网络安全服务采购项目采购需求</w:t>
      </w: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一、项目概况</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为进一步落实《网络安全法》《网络安全等级保护2.0》等有关规定，提升市国资委网络安全管理与技术保障水平，现拟以公开招标方式选定1家供应商为市国资委提供1年网络安全服务。请有意参加投标的供应商在市国资委网站（http://gzw.sz.gov.cn）获取采购需求，并带上统一社会信用代码证、法人授权书、有效身份证件等材料（盖单位公章）于2022年</w:t>
      </w:r>
      <w:r>
        <w:rPr>
          <w:rFonts w:hint="eastAsia" w:hAnsi="宋体"/>
          <w:color w:val="auto"/>
          <w:kern w:val="0"/>
          <w:sz w:val="24"/>
          <w:szCs w:val="20"/>
          <w:highlight w:val="none"/>
          <w:lang w:val="en-US" w:eastAsia="zh-CN"/>
        </w:rPr>
        <w:t>10</w:t>
      </w:r>
      <w:r>
        <w:rPr>
          <w:rFonts w:hint="eastAsia" w:hAnsi="宋体"/>
          <w:color w:val="auto"/>
          <w:kern w:val="0"/>
          <w:sz w:val="24"/>
          <w:szCs w:val="20"/>
          <w:highlight w:val="none"/>
        </w:rPr>
        <w:t>月</w:t>
      </w:r>
      <w:r>
        <w:rPr>
          <w:rFonts w:hint="eastAsia" w:hAnsi="宋体"/>
          <w:color w:val="auto"/>
          <w:kern w:val="0"/>
          <w:sz w:val="24"/>
          <w:szCs w:val="20"/>
          <w:highlight w:val="none"/>
          <w:lang w:val="en-US" w:eastAsia="zh-CN"/>
        </w:rPr>
        <w:t>21</w:t>
      </w:r>
      <w:r>
        <w:rPr>
          <w:rFonts w:hint="eastAsia" w:hAnsi="宋体"/>
          <w:color w:val="auto"/>
          <w:kern w:val="0"/>
          <w:sz w:val="24"/>
          <w:szCs w:val="20"/>
          <w:highlight w:val="none"/>
        </w:rPr>
        <w:t>日</w:t>
      </w:r>
      <w:r>
        <w:rPr>
          <w:rFonts w:hint="eastAsia" w:hAnsi="宋体"/>
          <w:color w:val="auto"/>
          <w:kern w:val="0"/>
          <w:sz w:val="24"/>
          <w:szCs w:val="20"/>
          <w:highlight w:val="none"/>
          <w:lang w:val="en-US" w:eastAsia="zh-CN"/>
        </w:rPr>
        <w:t>14:30</w:t>
      </w:r>
      <w:r>
        <w:rPr>
          <w:rFonts w:hint="eastAsia" w:hAnsi="宋体"/>
          <w:color w:val="auto"/>
          <w:kern w:val="0"/>
          <w:sz w:val="24"/>
          <w:szCs w:val="20"/>
          <w:highlight w:val="none"/>
        </w:rPr>
        <w:t>（北京时间）前递交投标文件。</w:t>
      </w: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二、服务内容和要求</w:t>
      </w:r>
    </w:p>
    <w:p>
      <w:pPr>
        <w:spacing w:line="560" w:lineRule="exact"/>
        <w:ind w:firstLine="642"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（一）服务内容</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1、安排1名具备2年以上网络安全相关工作经验的安全服务工程师驻场，协助国资委完成本项目的网络安全日常工作。</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2、每季度完成主机设备（包括服务器、网络设备、终端），每月完成应用系统漏洞扫描，提交扫描报告和加固解决方案，整改完毕后进行复核，按时向市网络安全主管单位提交网络安全绩效评估检测报告。</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3、每半年完成网站及应用系统渗透测试，提交渗透测试报告和加固解决方案，整改完毕后进行复核。</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4、完成季度数据库扫描，提供数据库漏洞扫描详细报告和加固解决方案，整改完毕后进行复核。</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5、完成年度网络安全风险评估工作，按照要求提交报告和相关资料，对于风险评估工作中发现问题，给出解决方案，并协助市国资委进行整改。</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6、协助市国资委完成网络安全制度建设与落实，根据市国资委实际情况，起草相关制度初稿，推动制度体系按要求建设，跟进制度落实情况，汇总制度执行记录。</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7、协助完成年度网络安全突发事件应急处置预案、专项预案的修订，并对1个重要信息系统开展一次应急演练，按时向深圳市网络安全主管单位提交相关材料。</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8、协助市国资委完成年度网络安全等级保护测评工作，做好系统定级备案、等保差距自测评、等保整改工作。</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9、完成年度网络安全自查，</w:t>
      </w:r>
      <w:bookmarkStart w:id="0" w:name="_Hlk46142137"/>
      <w:r>
        <w:rPr>
          <w:rFonts w:hint="eastAsia" w:hAnsi="宋体"/>
          <w:color w:val="auto"/>
          <w:kern w:val="0"/>
          <w:sz w:val="24"/>
          <w:szCs w:val="20"/>
          <w:highlight w:val="none"/>
        </w:rPr>
        <w:t>按照要求提交报告和相关资料，协助市国资委做好联合检查小组现场检查相关准备工作</w:t>
      </w:r>
      <w:bookmarkEnd w:id="0"/>
      <w:r>
        <w:rPr>
          <w:rFonts w:hint="eastAsia" w:hAnsi="宋体"/>
          <w:color w:val="auto"/>
          <w:kern w:val="0"/>
          <w:sz w:val="24"/>
          <w:szCs w:val="20"/>
          <w:highlight w:val="none"/>
        </w:rPr>
        <w:t>。</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10、提供全员网络安全意识培训。</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11、提供重大活动网络安全保障及应急支持，对市国资委发生的网络安全事件开展应急处置技术支持工作。</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12、提供24小时网站在线监控，保障市国资委部署在互联网网站的安全稳定运行，并根据网络安全发展态势，协助市国资委及时处置高危风险安全威胁。</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13、提供一年的网络运维服务，按季度进行网络环境巡检、网络故障问题现场排查、网络环境配置（含IPv6）变更与技术支持。</w:t>
      </w:r>
    </w:p>
    <w:p>
      <w:pPr>
        <w:spacing w:line="560" w:lineRule="exact"/>
        <w:ind w:firstLine="645"/>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（二）服务要求</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应具备国家认可的网络安全服务相关资质；包括：中国信息安全测评中心颁发的信息安全服务资质证书，中国网络安全审查技术与认证中心颁发的 信息安全风险评估服务资质、信息安全应急处理服务资质、信息系统安全运维服务资质、信息系统安全集成服务资质，信息安全管理体系认证证书（ISO27001）等。</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2、</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在近3年（2019年1月1日到投标截止时间）完成过深圳市政府单位安全服务项目，并协助该单位取得优异的成绩与排名。（或：</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在近3年在市级及以上的攻防演练中，协助深圳市党政机关单位取得优异成绩，并获得该单位的表扬信）。</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3、</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拟安排的项目经理及团队成员应具备信息安全相关证书。包括：CISP注册信息安全专业人员认证资质、ITIL（IT服务管理）、CISAW(信息安全保障人员安全运维)、CISAW信息安全保障人员认证证书（应急服务方向）、PMP项目管理专业资格认证、国家信息安全水平证书（二级及以上）、CCIE-Security、国家互联网应急中心颁发的“原创漏洞证明”。</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4、</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须提供近三年在信息化服务项目中获得客户表扬或履约情况为优的情况证明材料。</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5、</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应为深圳本地</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，或非深圳</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但在深圳有合法注册的分公司（分公司的必须提供分公司营业执照扫描件，原件备查）。</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6、投标人需为本项目配备漏洞扫描工具、数据库扫描工具、移动端扫描工具和网站安全监控产品各一套。项目服务期内，相关工具由国资委调配使用。并提供各工具的外部采购合同或具有投标人独立自主知识产权或计算机软件著作权登记证书证明材料。</w:t>
      </w:r>
    </w:p>
    <w:p>
      <w:pPr>
        <w:pStyle w:val="3"/>
        <w:spacing w:before="156" w:after="156"/>
        <w:ind w:firstLine="640" w:firstLineChars="200"/>
        <w:rPr>
          <w:rFonts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三、评标定标方法</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如通过资格审查的供应商</w:t>
      </w:r>
      <w:r>
        <w:rPr>
          <w:rFonts w:hAnsi="宋体"/>
          <w:color w:val="auto"/>
          <w:kern w:val="0"/>
          <w:sz w:val="24"/>
          <w:szCs w:val="20"/>
          <w:highlight w:val="none"/>
        </w:rPr>
        <w:t>不</w:t>
      </w:r>
      <w:r>
        <w:rPr>
          <w:rFonts w:hint="eastAsia" w:hAnsi="宋体"/>
          <w:color w:val="auto"/>
          <w:kern w:val="0"/>
          <w:sz w:val="24"/>
          <w:szCs w:val="20"/>
          <w:highlight w:val="none"/>
        </w:rPr>
        <w:t>少于3</w:t>
      </w:r>
      <w:r>
        <w:rPr>
          <w:rFonts w:hAnsi="宋体"/>
          <w:color w:val="auto"/>
          <w:kern w:val="0"/>
          <w:sz w:val="24"/>
          <w:szCs w:val="20"/>
          <w:highlight w:val="none"/>
        </w:rPr>
        <w:t>家</w:t>
      </w:r>
      <w:r>
        <w:rPr>
          <w:rFonts w:hint="eastAsia" w:hAnsi="宋体"/>
          <w:color w:val="auto"/>
          <w:kern w:val="0"/>
          <w:sz w:val="24"/>
          <w:szCs w:val="20"/>
          <w:highlight w:val="none"/>
        </w:rPr>
        <w:t>，市国资委将根据响应情况对各供应商进行评审（具体标准详见《深圳市国资委网络安全服务采购项目评审表》）后，采用综合评标法确定成交供应商。其中：</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（一）评级档次中，得分高的供应商为候选中标供应商；</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（二）如评级档次得分相同，则报价低的为候选中标供应商。</w:t>
      </w:r>
    </w:p>
    <w:p>
      <w:pPr>
        <w:widowControl/>
        <w:spacing w:before="120" w:after="120" w:line="360" w:lineRule="auto"/>
        <w:rPr>
          <w:rFonts w:hAnsi="宋体"/>
          <w:b/>
          <w:color w:val="auto"/>
          <w:kern w:val="0"/>
          <w:sz w:val="24"/>
          <w:szCs w:val="20"/>
          <w:highlight w:val="none"/>
        </w:rPr>
      </w:pPr>
      <w:r>
        <w:rPr>
          <w:rFonts w:hint="eastAsia" w:hAnsi="宋体"/>
          <w:b/>
          <w:color w:val="auto"/>
          <w:kern w:val="0"/>
          <w:sz w:val="24"/>
          <w:szCs w:val="20"/>
          <w:highlight w:val="none"/>
        </w:rPr>
        <w:t>评标信息：</w:t>
      </w:r>
    </w:p>
    <w:tbl>
      <w:tblPr>
        <w:tblStyle w:val="14"/>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65"/>
        <w:gridCol w:w="1559"/>
        <w:gridCol w:w="567"/>
        <w:gridCol w:w="1134"/>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b/>
                <w:color w:val="auto"/>
                <w:szCs w:val="21"/>
                <w:highlight w:val="none"/>
              </w:rPr>
            </w:pPr>
            <w:r>
              <w:rPr>
                <w:rFonts w:hint="eastAsia" w:hAnsi="宋体" w:cs="宋体"/>
                <w:b/>
                <w:color w:val="auto"/>
                <w:szCs w:val="21"/>
                <w:highlight w:val="none"/>
              </w:rPr>
              <w:t>序号</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评分项</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1</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价格</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2</w:t>
            </w:r>
          </w:p>
        </w:tc>
        <w:tc>
          <w:tcPr>
            <w:tcW w:w="4025" w:type="dxa"/>
            <w:gridSpan w:val="4"/>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技术部分</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restart"/>
            <w:vAlign w:val="center"/>
          </w:tcPr>
          <w:p>
            <w:pPr>
              <w:spacing w:line="380" w:lineRule="exact"/>
              <w:rPr>
                <w:rFonts w:hAnsi="宋体" w:cs="宋体"/>
                <w:color w:val="auto"/>
                <w:szCs w:val="21"/>
                <w:highlight w:val="none"/>
              </w:rPr>
            </w:pPr>
          </w:p>
        </w:tc>
        <w:tc>
          <w:tcPr>
            <w:tcW w:w="765"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序号</w:t>
            </w:r>
          </w:p>
        </w:tc>
        <w:tc>
          <w:tcPr>
            <w:tcW w:w="1559"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评分因素</w:t>
            </w:r>
          </w:p>
        </w:tc>
        <w:tc>
          <w:tcPr>
            <w:tcW w:w="567"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权重</w:t>
            </w:r>
          </w:p>
        </w:tc>
        <w:tc>
          <w:tcPr>
            <w:tcW w:w="1134"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评分方式</w:t>
            </w:r>
          </w:p>
        </w:tc>
        <w:tc>
          <w:tcPr>
            <w:tcW w:w="4010" w:type="dxa"/>
            <w:vAlign w:val="center"/>
          </w:tcPr>
          <w:p>
            <w:pPr>
              <w:spacing w:line="380" w:lineRule="exact"/>
              <w:jc w:val="center"/>
              <w:rPr>
                <w:rFonts w:hAnsi="宋体" w:cs="宋体"/>
                <w:b/>
                <w:color w:val="auto"/>
                <w:szCs w:val="21"/>
                <w:highlight w:val="none"/>
              </w:rPr>
            </w:pPr>
            <w:r>
              <w:rPr>
                <w:rFonts w:hint="eastAsia" w:hAnsi="宋体" w:cs="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1</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项目实施方案</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15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 xml:space="preserve">投标人服务方案编制的科学性、严谨性、全面性。目标理解准确，任务分解得当，工作安排合理得当，内容覆盖完整。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1.项目总体思路清晰明确，方案合理可行，满足服务要求，针对性强，得 15分；</w:t>
            </w:r>
          </w:p>
          <w:p>
            <w:pPr>
              <w:spacing w:line="340" w:lineRule="exact"/>
              <w:rPr>
                <w:rFonts w:hAnsi="宋体" w:cs="宋体"/>
                <w:color w:val="auto"/>
                <w:szCs w:val="21"/>
                <w:highlight w:val="none"/>
              </w:rPr>
            </w:pPr>
            <w:r>
              <w:rPr>
                <w:rFonts w:hint="eastAsia" w:hAnsi="宋体" w:cs="宋体"/>
                <w:color w:val="auto"/>
                <w:szCs w:val="21"/>
                <w:highlight w:val="none"/>
              </w:rPr>
              <w:t xml:space="preserve">2.项目总体思路比较清晰，方案比较合理可行，可以满足服务要求，得12分； </w:t>
            </w:r>
          </w:p>
          <w:p>
            <w:pPr>
              <w:spacing w:line="340" w:lineRule="exact"/>
              <w:rPr>
                <w:rFonts w:hAnsi="宋体" w:cs="宋体"/>
                <w:color w:val="auto"/>
                <w:szCs w:val="21"/>
                <w:highlight w:val="none"/>
              </w:rPr>
            </w:pPr>
            <w:r>
              <w:rPr>
                <w:rFonts w:hint="eastAsia" w:hAnsi="宋体" w:cs="宋体"/>
                <w:color w:val="auto"/>
                <w:szCs w:val="21"/>
                <w:highlight w:val="none"/>
              </w:rPr>
              <w:t xml:space="preserve">3.项目总体思路基本清晰，方案基本合理可行，基本可以满足服务要求，得 9分； </w:t>
            </w:r>
          </w:p>
          <w:p>
            <w:pPr>
              <w:spacing w:line="340" w:lineRule="exact"/>
              <w:rPr>
                <w:rFonts w:hAnsi="宋体" w:cs="宋体"/>
                <w:color w:val="auto"/>
                <w:szCs w:val="21"/>
                <w:highlight w:val="none"/>
              </w:rPr>
            </w:pPr>
            <w:r>
              <w:rPr>
                <w:rFonts w:hint="eastAsia" w:hAnsi="宋体" w:cs="宋体"/>
                <w:color w:val="auto"/>
                <w:szCs w:val="21"/>
                <w:highlight w:val="none"/>
              </w:rPr>
              <w:t>4.项目总体思路不清晰，方案不完整，不能满足服务需要，不得分。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2</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项目重点难点分析、应对措施及相关的合理化建议</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10</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 </w:t>
            </w:r>
          </w:p>
          <w:p>
            <w:pPr>
              <w:spacing w:line="340" w:lineRule="exact"/>
              <w:rPr>
                <w:rFonts w:hAnsi="宋体" w:cs="宋体"/>
                <w:color w:val="auto"/>
                <w:szCs w:val="21"/>
                <w:highlight w:val="none"/>
              </w:rPr>
            </w:pPr>
            <w:r>
              <w:rPr>
                <w:rFonts w:hint="eastAsia" w:hAnsi="宋体" w:cs="宋体"/>
                <w:color w:val="auto"/>
                <w:szCs w:val="21"/>
                <w:highlight w:val="none"/>
              </w:rPr>
              <w:t>考察投标方案对项目理解程度，如项目难点分析、应对措施等。</w:t>
            </w:r>
          </w:p>
          <w:p>
            <w:pPr>
              <w:spacing w:line="340" w:lineRule="exact"/>
              <w:rPr>
                <w:rFonts w:hAnsi="宋体" w:cs="宋体"/>
                <w:color w:val="auto"/>
                <w:szCs w:val="21"/>
                <w:highlight w:val="none"/>
              </w:rPr>
            </w:pPr>
            <w:r>
              <w:rPr>
                <w:rFonts w:hint="eastAsia" w:hAnsi="宋体" w:cs="宋体"/>
                <w:color w:val="auto"/>
                <w:szCs w:val="21"/>
                <w:highlight w:val="none"/>
              </w:rPr>
              <w:t>1、重点难点分析、应对措施内容全面、具体；</w:t>
            </w:r>
          </w:p>
          <w:p>
            <w:pPr>
              <w:spacing w:line="340" w:lineRule="exact"/>
              <w:rPr>
                <w:rFonts w:hAnsi="宋体" w:cs="宋体"/>
                <w:color w:val="auto"/>
                <w:szCs w:val="21"/>
                <w:highlight w:val="none"/>
              </w:rPr>
            </w:pPr>
            <w:r>
              <w:rPr>
                <w:rFonts w:hint="eastAsia" w:hAnsi="宋体" w:cs="宋体"/>
                <w:color w:val="auto"/>
                <w:szCs w:val="21"/>
                <w:highlight w:val="none"/>
              </w:rPr>
              <w:t>2、重点难点分析、应对措施内容针对性强；</w:t>
            </w:r>
          </w:p>
          <w:p>
            <w:pPr>
              <w:spacing w:line="340" w:lineRule="exact"/>
              <w:rPr>
                <w:rFonts w:hAnsi="宋体" w:cs="宋体"/>
                <w:color w:val="auto"/>
                <w:szCs w:val="21"/>
                <w:highlight w:val="none"/>
              </w:rPr>
            </w:pPr>
            <w:r>
              <w:rPr>
                <w:rFonts w:hint="eastAsia" w:hAnsi="宋体" w:cs="宋体"/>
                <w:color w:val="auto"/>
                <w:szCs w:val="21"/>
                <w:highlight w:val="none"/>
              </w:rPr>
              <w:t>3、重点难点分析、应对措施项目工具运用科学合理；</w:t>
            </w:r>
          </w:p>
          <w:p>
            <w:pPr>
              <w:spacing w:line="340" w:lineRule="exact"/>
              <w:rPr>
                <w:rFonts w:hAnsi="宋体" w:cs="宋体"/>
                <w:color w:val="auto"/>
                <w:szCs w:val="21"/>
                <w:highlight w:val="none"/>
              </w:rPr>
            </w:pPr>
            <w:r>
              <w:rPr>
                <w:rFonts w:hint="eastAsia" w:hAnsi="宋体" w:cs="宋体"/>
                <w:color w:val="auto"/>
                <w:szCs w:val="21"/>
                <w:highlight w:val="none"/>
              </w:rPr>
              <w:t xml:space="preserve">4、重点难点分析、应对措施重可操作性强；。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满足以上四项要求评价为优，得10分；</w:t>
            </w:r>
          </w:p>
          <w:p>
            <w:pPr>
              <w:spacing w:line="340" w:lineRule="exact"/>
              <w:rPr>
                <w:rFonts w:hAnsi="宋体" w:cs="宋体"/>
                <w:color w:val="auto"/>
                <w:szCs w:val="21"/>
                <w:highlight w:val="none"/>
              </w:rPr>
            </w:pPr>
            <w:r>
              <w:rPr>
                <w:rFonts w:hint="eastAsia" w:hAnsi="宋体" w:cs="宋体"/>
                <w:color w:val="auto"/>
                <w:szCs w:val="21"/>
                <w:highlight w:val="none"/>
              </w:rPr>
              <w:t>满足以上三项要求评价为良，得8分；</w:t>
            </w:r>
          </w:p>
          <w:p>
            <w:pPr>
              <w:spacing w:line="340" w:lineRule="exact"/>
              <w:rPr>
                <w:rFonts w:hAnsi="宋体" w:cs="宋体"/>
                <w:color w:val="auto"/>
                <w:szCs w:val="21"/>
                <w:highlight w:val="none"/>
              </w:rPr>
            </w:pPr>
            <w:r>
              <w:rPr>
                <w:rFonts w:hint="eastAsia" w:hAnsi="宋体" w:cs="宋体"/>
                <w:color w:val="auto"/>
                <w:szCs w:val="21"/>
                <w:highlight w:val="none"/>
              </w:rPr>
              <w:t>满足以上二项要求评价为中，得5分；</w:t>
            </w:r>
          </w:p>
          <w:p>
            <w:pPr>
              <w:spacing w:line="340" w:lineRule="exact"/>
              <w:rPr>
                <w:rFonts w:hAnsi="宋体" w:cs="宋体"/>
                <w:color w:val="auto"/>
                <w:szCs w:val="21"/>
                <w:highlight w:val="none"/>
              </w:rPr>
            </w:pPr>
            <w:r>
              <w:rPr>
                <w:rFonts w:hint="eastAsia" w:hAnsi="宋体" w:cs="宋体"/>
                <w:color w:val="auto"/>
                <w:szCs w:val="21"/>
                <w:highlight w:val="none"/>
              </w:rPr>
              <w:t xml:space="preserve">其它情况不得分。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3</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质量（完成时间、安全、环保）保障措施及方案</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 </w:t>
            </w:r>
          </w:p>
          <w:p>
            <w:pPr>
              <w:spacing w:line="340" w:lineRule="exact"/>
              <w:rPr>
                <w:rFonts w:hAnsi="宋体" w:cs="宋体"/>
                <w:color w:val="auto"/>
                <w:szCs w:val="21"/>
                <w:highlight w:val="none"/>
              </w:rPr>
            </w:pPr>
            <w:r>
              <w:rPr>
                <w:rFonts w:hint="eastAsia" w:hAnsi="宋体" w:cs="宋体"/>
                <w:color w:val="auto"/>
                <w:szCs w:val="21"/>
                <w:highlight w:val="none"/>
              </w:rPr>
              <w:t xml:space="preserve">根据招标文件的需求和投标文件响应情况进行横向比较。 </w:t>
            </w:r>
          </w:p>
          <w:p>
            <w:pPr>
              <w:spacing w:line="340" w:lineRule="exact"/>
              <w:rPr>
                <w:rFonts w:hAnsi="宋体" w:cs="宋体"/>
                <w:color w:val="auto"/>
                <w:szCs w:val="21"/>
                <w:highlight w:val="none"/>
              </w:rPr>
            </w:pPr>
            <w:r>
              <w:rPr>
                <w:rFonts w:hint="eastAsia" w:hAnsi="宋体" w:cs="宋体"/>
                <w:color w:val="auto"/>
                <w:szCs w:val="21"/>
                <w:highlight w:val="none"/>
              </w:rPr>
              <w:t xml:space="preserve">评分标准： </w:t>
            </w:r>
          </w:p>
          <w:p>
            <w:pPr>
              <w:spacing w:line="340" w:lineRule="exact"/>
              <w:rPr>
                <w:rFonts w:hAnsi="宋体" w:cs="宋体"/>
                <w:color w:val="auto"/>
                <w:szCs w:val="21"/>
                <w:highlight w:val="none"/>
              </w:rPr>
            </w:pPr>
            <w:r>
              <w:rPr>
                <w:rFonts w:hint="eastAsia" w:hAnsi="宋体" w:cs="宋体"/>
                <w:color w:val="auto"/>
                <w:szCs w:val="21"/>
                <w:highlight w:val="none"/>
              </w:rPr>
              <w:t>1.内容全面，清晰，措施合理、可靠，得5分；</w:t>
            </w:r>
          </w:p>
          <w:p>
            <w:pPr>
              <w:spacing w:line="340" w:lineRule="exact"/>
              <w:rPr>
                <w:rFonts w:hAnsi="宋体" w:cs="宋体"/>
                <w:color w:val="auto"/>
                <w:szCs w:val="21"/>
                <w:highlight w:val="none"/>
              </w:rPr>
            </w:pPr>
            <w:r>
              <w:rPr>
                <w:rFonts w:hint="eastAsia" w:hAnsi="宋体" w:cs="宋体"/>
                <w:color w:val="auto"/>
                <w:szCs w:val="21"/>
                <w:highlight w:val="none"/>
              </w:rPr>
              <w:t xml:space="preserve">2.内容较全面，比较清晰，措施比较合理、可靠，得3分； </w:t>
            </w:r>
          </w:p>
          <w:p>
            <w:pPr>
              <w:spacing w:line="340" w:lineRule="exact"/>
              <w:rPr>
                <w:rFonts w:hAnsi="宋体" w:cs="宋体"/>
                <w:color w:val="auto"/>
                <w:szCs w:val="21"/>
                <w:highlight w:val="none"/>
              </w:rPr>
            </w:pPr>
            <w:r>
              <w:rPr>
                <w:rFonts w:hint="eastAsia" w:hAnsi="宋体" w:cs="宋体"/>
                <w:color w:val="auto"/>
                <w:szCs w:val="21"/>
                <w:highlight w:val="none"/>
              </w:rPr>
              <w:t xml:space="preserve">3.内容基本全面，基本清晰，措施基本合理、可靠，得1分； </w:t>
            </w:r>
          </w:p>
          <w:p>
            <w:pPr>
              <w:spacing w:line="340" w:lineRule="exact"/>
              <w:rPr>
                <w:rFonts w:hAnsi="宋体" w:cs="宋体"/>
                <w:color w:val="auto"/>
                <w:szCs w:val="21"/>
                <w:highlight w:val="none"/>
              </w:rPr>
            </w:pPr>
            <w:r>
              <w:rPr>
                <w:rFonts w:hint="eastAsia" w:hAnsi="宋体" w:cs="宋体"/>
                <w:color w:val="auto"/>
                <w:szCs w:val="21"/>
                <w:highlight w:val="none"/>
              </w:rPr>
              <w:t>4.内容缺失，不清晰，措施不合理不可靠，不得分。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4</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项目完成（服务期满）后的服务承诺</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评审内容：投标人提供以下承诺，全部两项的得5分，否则不得分。 </w:t>
            </w:r>
          </w:p>
          <w:p>
            <w:pPr>
              <w:spacing w:line="340" w:lineRule="exact"/>
              <w:rPr>
                <w:rFonts w:hAnsi="宋体" w:cs="宋体"/>
                <w:color w:val="auto"/>
                <w:szCs w:val="21"/>
                <w:highlight w:val="none"/>
              </w:rPr>
            </w:pPr>
            <w:r>
              <w:rPr>
                <w:rFonts w:hint="eastAsia" w:hAnsi="宋体" w:cs="宋体"/>
                <w:color w:val="auto"/>
                <w:szCs w:val="21"/>
                <w:highlight w:val="none"/>
              </w:rPr>
              <w:t xml:space="preserve">（1）承诺服务期满后1个月内主动办理交接工作； </w:t>
            </w:r>
          </w:p>
          <w:p>
            <w:pPr>
              <w:spacing w:line="340" w:lineRule="exact"/>
              <w:rPr>
                <w:rFonts w:hAnsi="宋体" w:cs="宋体"/>
                <w:color w:val="auto"/>
                <w:szCs w:val="21"/>
                <w:highlight w:val="none"/>
              </w:rPr>
            </w:pPr>
            <w:r>
              <w:rPr>
                <w:rFonts w:hint="eastAsia" w:hAnsi="宋体" w:cs="宋体"/>
                <w:color w:val="auto"/>
                <w:szCs w:val="21"/>
                <w:highlight w:val="none"/>
              </w:rPr>
              <w:t xml:space="preserve">（2）服务期满，后续服务公司未到位前仍按原合同服务承诺提供服务的承诺。 </w:t>
            </w:r>
          </w:p>
          <w:p>
            <w:pPr>
              <w:spacing w:line="340" w:lineRule="exact"/>
              <w:rPr>
                <w:rFonts w:hAnsi="宋体" w:cs="宋体"/>
                <w:color w:val="auto"/>
                <w:szCs w:val="21"/>
                <w:highlight w:val="none"/>
              </w:rPr>
            </w:pPr>
            <w:r>
              <w:rPr>
                <w:rFonts w:hint="eastAsia" w:hAnsi="宋体" w:cs="宋体"/>
                <w:color w:val="auto"/>
                <w:szCs w:val="21"/>
                <w:highlight w:val="none"/>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违约承诺</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 xml:space="preserve">评审内容：投标人提供以下违约承诺，并说明违约处理办法，承诺以下全部两项的得5分，否则不得分。 </w:t>
            </w:r>
          </w:p>
          <w:p>
            <w:pPr>
              <w:spacing w:line="340" w:lineRule="exact"/>
              <w:rPr>
                <w:rFonts w:hAnsi="宋体" w:cs="宋体"/>
                <w:color w:val="auto"/>
                <w:szCs w:val="21"/>
                <w:highlight w:val="none"/>
              </w:rPr>
            </w:pPr>
            <w:r>
              <w:rPr>
                <w:rFonts w:hint="eastAsia" w:hAnsi="宋体" w:cs="宋体"/>
                <w:color w:val="auto"/>
                <w:szCs w:val="21"/>
                <w:highlight w:val="none"/>
              </w:rPr>
              <w:t xml:space="preserve">（1）人员严格按照招标文件配置； </w:t>
            </w:r>
          </w:p>
          <w:p>
            <w:pPr>
              <w:spacing w:line="340" w:lineRule="exact"/>
              <w:rPr>
                <w:rFonts w:hAnsi="宋体" w:cs="宋体"/>
                <w:color w:val="auto"/>
                <w:szCs w:val="21"/>
                <w:highlight w:val="none"/>
              </w:rPr>
            </w:pPr>
            <w:r>
              <w:rPr>
                <w:rFonts w:hint="eastAsia" w:hAnsi="宋体" w:cs="宋体"/>
                <w:color w:val="auto"/>
                <w:szCs w:val="21"/>
                <w:highlight w:val="none"/>
              </w:rPr>
              <w:t xml:space="preserve">（2）服务质量达到招标文件要求。 </w:t>
            </w:r>
          </w:p>
          <w:p>
            <w:pPr>
              <w:spacing w:line="340" w:lineRule="exact"/>
              <w:rPr>
                <w:rFonts w:hAnsi="宋体" w:cs="宋体"/>
                <w:color w:val="auto"/>
                <w:szCs w:val="21"/>
                <w:highlight w:val="none"/>
              </w:rPr>
            </w:pPr>
            <w:r>
              <w:rPr>
                <w:rFonts w:hint="eastAsia" w:hAnsi="宋体" w:cs="宋体"/>
                <w:color w:val="auto"/>
                <w:szCs w:val="21"/>
                <w:highlight w:val="none"/>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6</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拟安排的项目负责人情况（仅限一人）</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4</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项目经理：投标人提供1名具有ITIL（IT服务管理）、CISAW(信息安全保障人员安全运维)、CISP注册信息安全专业人员、PMP项目管理等相关证书的项目经理，负责整个项目的规划和管理，项目经理同时具有上述四个证书得4分；项目经理同时具有上述三个证书得3分，项目经理同时具有上述两个证书得2分，其他情况不得分。</w:t>
            </w:r>
          </w:p>
          <w:p>
            <w:pPr>
              <w:spacing w:line="340" w:lineRule="exact"/>
              <w:rPr>
                <w:rFonts w:hAnsi="宋体" w:cs="宋体"/>
                <w:color w:val="auto"/>
                <w:szCs w:val="21"/>
                <w:highlight w:val="none"/>
              </w:rPr>
            </w:pPr>
            <w:r>
              <w:rPr>
                <w:rFonts w:hint="eastAsia" w:hAnsi="宋体" w:cs="宋体"/>
                <w:color w:val="auto"/>
                <w:szCs w:val="21"/>
                <w:highlight w:val="none"/>
              </w:rPr>
              <w:t>证明材料：</w:t>
            </w:r>
          </w:p>
          <w:p>
            <w:pPr>
              <w:spacing w:line="340" w:lineRule="exact"/>
              <w:rPr>
                <w:rFonts w:hAnsi="宋体" w:cs="宋体"/>
                <w:color w:val="auto"/>
                <w:szCs w:val="21"/>
                <w:highlight w:val="none"/>
              </w:rPr>
            </w:pPr>
            <w:r>
              <w:rPr>
                <w:rFonts w:hint="eastAsia" w:hAnsi="宋体" w:cs="宋体"/>
                <w:color w:val="auto"/>
                <w:szCs w:val="21"/>
                <w:highlight w:val="none"/>
              </w:rPr>
              <w:t>1.项目负责人必须为响应供应商自有员工，投标截止日前由投标人为其缴交的近三个月（具体指投标截止日所在月的上一个月起倒算）（已退休返聘人员需提供聘用合同），如开标日上一个月的社保材料因社保部门原因暂时无法取得，则可以往前顺延一个月；证明资料可为社保收缴部门盖章证明资料、社保窗口打印资料或社保官网截图；</w:t>
            </w:r>
          </w:p>
          <w:p>
            <w:pPr>
              <w:spacing w:line="340" w:lineRule="exact"/>
              <w:rPr>
                <w:rFonts w:hAnsi="宋体" w:cs="宋体"/>
                <w:color w:val="auto"/>
                <w:szCs w:val="21"/>
                <w:highlight w:val="none"/>
              </w:rPr>
            </w:pPr>
            <w:r>
              <w:rPr>
                <w:rFonts w:hint="eastAsia" w:hAnsi="宋体" w:cs="宋体"/>
                <w:color w:val="auto"/>
                <w:szCs w:val="21"/>
                <w:highlight w:val="none"/>
              </w:rPr>
              <w:t>2.须提供相关资质证书扫描件。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80" w:lineRule="exact"/>
              <w:rPr>
                <w:rFonts w:hAnsi="宋体" w:cs="宋体"/>
                <w:color w:val="auto"/>
                <w:szCs w:val="21"/>
                <w:highlight w:val="none"/>
              </w:rPr>
            </w:pPr>
          </w:p>
        </w:tc>
        <w:tc>
          <w:tcPr>
            <w:tcW w:w="765"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7</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拟安排的项目主要团队成员（主要技术人员）情况（项目负责人除外）</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6</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技术实施人员（项目负责人除外）：投标人为本项目投入至少6名技术实施人员，技术实施人员具有CISP注册信息安全专业人员认证资质、CISAW信息安全保障人员认证证书（应急服务方向）、国家信息安全水平证书（二级及以上）、CCIE-Security、国家互联网应急中心颁发的“原创漏洞证明”、华为HCIE六种证书中的任意一种，每提供一种得1分，全部提供得6分（同一人具有多个证书按一种证书计算，计1分），其他情况不得分。</w:t>
            </w:r>
          </w:p>
          <w:p>
            <w:pPr>
              <w:spacing w:line="340" w:lineRule="exact"/>
              <w:rPr>
                <w:rFonts w:hAnsi="宋体" w:cs="宋体"/>
                <w:color w:val="auto"/>
                <w:szCs w:val="21"/>
                <w:highlight w:val="none"/>
              </w:rPr>
            </w:pPr>
            <w:r>
              <w:rPr>
                <w:rFonts w:hint="eastAsia" w:hAnsi="宋体" w:cs="宋体"/>
                <w:color w:val="auto"/>
                <w:szCs w:val="21"/>
                <w:highlight w:val="none"/>
              </w:rPr>
              <w:t>证明材料：</w:t>
            </w:r>
          </w:p>
          <w:p>
            <w:pPr>
              <w:spacing w:line="340" w:lineRule="exact"/>
              <w:rPr>
                <w:rFonts w:hAnsi="宋体" w:cs="宋体"/>
                <w:color w:val="auto"/>
                <w:szCs w:val="21"/>
                <w:highlight w:val="none"/>
              </w:rPr>
            </w:pPr>
            <w:r>
              <w:rPr>
                <w:rFonts w:hint="eastAsia" w:hAnsi="宋体" w:cs="宋体"/>
                <w:color w:val="auto"/>
                <w:szCs w:val="21"/>
                <w:highlight w:val="none"/>
              </w:rPr>
              <w:t>1.上述技术实施人员必须为响应供应商自有员工，投标截止日前由投标人为其缴交的近三个月（具体指投标截止日所在月的上一个月起倒算）（已退休返聘人员需提供聘用合同），如开标日上一个月的社保材料因社保部门原因暂时无法取得，则可以往前顺延一个月；证明资料可为社保收缴部门盖章证明资料、社保窗口打印资料或社保官网截图；</w:t>
            </w:r>
          </w:p>
          <w:p>
            <w:pPr>
              <w:spacing w:line="340" w:lineRule="exact"/>
              <w:rPr>
                <w:rFonts w:hAnsi="宋体" w:cs="宋体"/>
                <w:color w:val="auto"/>
                <w:sz w:val="24"/>
                <w:highlight w:val="none"/>
                <w:lang w:bidi="ar"/>
              </w:rPr>
            </w:pPr>
            <w:r>
              <w:rPr>
                <w:rFonts w:hint="eastAsia" w:hAnsi="宋体" w:cs="宋体"/>
                <w:color w:val="auto"/>
                <w:szCs w:val="21"/>
                <w:highlight w:val="none"/>
              </w:rPr>
              <w:t>2.须提供相关资质证书扫描件。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3</w:t>
            </w:r>
          </w:p>
        </w:tc>
        <w:tc>
          <w:tcPr>
            <w:tcW w:w="4025" w:type="dxa"/>
            <w:gridSpan w:val="4"/>
            <w:vAlign w:val="center"/>
          </w:tcPr>
          <w:p>
            <w:pPr>
              <w:pStyle w:val="23"/>
              <w:spacing w:before="17" w:line="340" w:lineRule="exact"/>
              <w:ind w:left="129"/>
              <w:jc w:val="center"/>
              <w:rPr>
                <w:b/>
                <w:color w:val="auto"/>
                <w:sz w:val="21"/>
                <w:szCs w:val="21"/>
                <w:highlight w:val="none"/>
              </w:rPr>
            </w:pPr>
            <w:r>
              <w:rPr>
                <w:rFonts w:hint="eastAsia"/>
                <w:b/>
                <w:color w:val="auto"/>
                <w:sz w:val="21"/>
                <w:szCs w:val="21"/>
                <w:highlight w:val="none"/>
              </w:rPr>
              <w:t>商务部分</w:t>
            </w:r>
          </w:p>
        </w:tc>
        <w:tc>
          <w:tcPr>
            <w:tcW w:w="4010" w:type="dxa"/>
          </w:tcPr>
          <w:p>
            <w:pPr>
              <w:pStyle w:val="23"/>
              <w:spacing w:before="25" w:line="340" w:lineRule="exact"/>
              <w:ind w:right="81"/>
              <w:jc w:val="center"/>
              <w:rPr>
                <w:b/>
                <w:color w:val="auto"/>
                <w:spacing w:val="-6"/>
                <w:sz w:val="21"/>
                <w:szCs w:val="21"/>
                <w:highlight w:val="none"/>
              </w:rPr>
            </w:pPr>
            <w:r>
              <w:rPr>
                <w:rFonts w:hint="eastAsia"/>
                <w:b/>
                <w:color w:val="auto"/>
                <w:spacing w:val="-6"/>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restart"/>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序号</w:t>
            </w:r>
          </w:p>
        </w:tc>
        <w:tc>
          <w:tcPr>
            <w:tcW w:w="1559"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评分因素</w:t>
            </w:r>
          </w:p>
        </w:tc>
        <w:tc>
          <w:tcPr>
            <w:tcW w:w="567"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权重</w:t>
            </w:r>
          </w:p>
        </w:tc>
        <w:tc>
          <w:tcPr>
            <w:tcW w:w="1134"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评分方式</w:t>
            </w:r>
          </w:p>
        </w:tc>
        <w:tc>
          <w:tcPr>
            <w:tcW w:w="4010" w:type="dxa"/>
            <w:vAlign w:val="center"/>
          </w:tcPr>
          <w:p>
            <w:pPr>
              <w:spacing w:line="340" w:lineRule="exact"/>
              <w:jc w:val="center"/>
              <w:rPr>
                <w:rFonts w:hAnsi="宋体" w:cs="宋体"/>
                <w:b/>
                <w:color w:val="auto"/>
                <w:szCs w:val="21"/>
                <w:highlight w:val="none"/>
              </w:rPr>
            </w:pPr>
            <w:r>
              <w:rPr>
                <w:rFonts w:hint="eastAsia" w:hAnsi="宋体" w:cs="宋体"/>
                <w:b/>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1</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投标人资质情况</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9</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1.中国信息安全测评中心颁发的信息安全服务资质证书，得1.5分；；</w:t>
            </w:r>
          </w:p>
          <w:p>
            <w:pPr>
              <w:spacing w:line="340" w:lineRule="exact"/>
              <w:rPr>
                <w:rFonts w:hAnsi="宋体" w:cs="宋体"/>
                <w:color w:val="auto"/>
                <w:szCs w:val="21"/>
                <w:highlight w:val="none"/>
              </w:rPr>
            </w:pPr>
            <w:r>
              <w:rPr>
                <w:rFonts w:hint="eastAsia" w:hAnsi="宋体" w:cs="宋体"/>
                <w:color w:val="auto"/>
                <w:szCs w:val="21"/>
                <w:highlight w:val="none"/>
              </w:rPr>
              <w:t>2.中国网络安全审查技术与认证中心颁发的 信息安全风险评估服务资质，得1.5分；</w:t>
            </w:r>
          </w:p>
          <w:p>
            <w:pPr>
              <w:spacing w:line="340" w:lineRule="exact"/>
              <w:rPr>
                <w:rFonts w:hAnsi="宋体" w:cs="宋体"/>
                <w:color w:val="auto"/>
                <w:szCs w:val="21"/>
                <w:highlight w:val="none"/>
              </w:rPr>
            </w:pPr>
            <w:r>
              <w:rPr>
                <w:rFonts w:hint="eastAsia" w:hAnsi="宋体" w:cs="宋体"/>
                <w:color w:val="auto"/>
                <w:szCs w:val="21"/>
                <w:highlight w:val="none"/>
              </w:rPr>
              <w:t>3.中国网络安全审查技术与认证中心颁发的信息安全应急处理服务资质，得1.5分；</w:t>
            </w:r>
          </w:p>
          <w:p>
            <w:pPr>
              <w:spacing w:line="340" w:lineRule="exact"/>
              <w:rPr>
                <w:rFonts w:hAnsi="宋体" w:cs="宋体"/>
                <w:color w:val="auto"/>
                <w:szCs w:val="21"/>
                <w:highlight w:val="none"/>
              </w:rPr>
            </w:pPr>
            <w:r>
              <w:rPr>
                <w:rFonts w:hint="eastAsia" w:hAnsi="宋体" w:cs="宋体"/>
                <w:color w:val="auto"/>
                <w:szCs w:val="21"/>
                <w:highlight w:val="none"/>
              </w:rPr>
              <w:t>4.中国网络安全审查技术与认证中心颁发的信息系统安全运维服务资质，得1.5分；</w:t>
            </w:r>
          </w:p>
          <w:p>
            <w:pPr>
              <w:spacing w:line="340" w:lineRule="exact"/>
              <w:rPr>
                <w:rFonts w:hAnsi="宋体" w:cs="宋体"/>
                <w:color w:val="auto"/>
                <w:szCs w:val="21"/>
                <w:highlight w:val="none"/>
              </w:rPr>
            </w:pPr>
            <w:r>
              <w:rPr>
                <w:rFonts w:hint="eastAsia" w:hAnsi="宋体" w:cs="宋体"/>
                <w:color w:val="auto"/>
                <w:szCs w:val="21"/>
                <w:highlight w:val="none"/>
              </w:rPr>
              <w:t>5.中国网络安全审查技术与认证中心颁发的信息系统安全集成服务资质，得1.5分；</w:t>
            </w:r>
          </w:p>
          <w:p>
            <w:pPr>
              <w:spacing w:line="340" w:lineRule="exact"/>
              <w:rPr>
                <w:rFonts w:hAnsi="宋体" w:cs="宋体"/>
                <w:color w:val="auto"/>
                <w:szCs w:val="21"/>
                <w:highlight w:val="none"/>
              </w:rPr>
            </w:pPr>
            <w:r>
              <w:rPr>
                <w:rFonts w:hint="eastAsia" w:hAnsi="宋体" w:cs="宋体"/>
                <w:color w:val="auto"/>
                <w:szCs w:val="21"/>
                <w:highlight w:val="none"/>
              </w:rPr>
              <w:t>6.信息安全管理体系认证证书（ISO27001），得1.5分；</w:t>
            </w:r>
          </w:p>
          <w:p>
            <w:pPr>
              <w:spacing w:line="340" w:lineRule="exact"/>
              <w:rPr>
                <w:rFonts w:hAnsi="宋体" w:cs="宋体"/>
                <w:color w:val="auto"/>
                <w:szCs w:val="21"/>
                <w:highlight w:val="none"/>
              </w:rPr>
            </w:pPr>
            <w:r>
              <w:rPr>
                <w:rFonts w:hint="eastAsia" w:hAnsi="宋体" w:cs="宋体"/>
                <w:color w:val="auto"/>
                <w:szCs w:val="21"/>
                <w:highlight w:val="none"/>
              </w:rPr>
              <w:t>以上 6项得分累计，最高得 9分。</w:t>
            </w:r>
          </w:p>
          <w:p>
            <w:pPr>
              <w:spacing w:line="340" w:lineRule="exact"/>
              <w:rPr>
                <w:rFonts w:hAnsi="宋体" w:cs="宋体"/>
                <w:color w:val="auto"/>
                <w:szCs w:val="21"/>
                <w:highlight w:val="none"/>
              </w:rPr>
            </w:pPr>
            <w:r>
              <w:rPr>
                <w:rFonts w:hint="eastAsia" w:hAnsi="宋体" w:cs="宋体"/>
                <w:color w:val="auto"/>
                <w:szCs w:val="21"/>
                <w:highlight w:val="none"/>
              </w:rPr>
              <w:t>证明材料：提供在有效期内的相关证书扫描件，原件备查。如未按要求提供证明材料，或所提供的证明材料未能体现上述评分内容的，视为该证明材料无效。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2</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投标人同类项目业绩情况</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6</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考察投标人近3年（2019年1月1日到投标截止时间）完成过深圳市政府单位安全服务项目，并协助该单位取得优异的成绩与排名。（或：</w:t>
            </w:r>
            <w:r>
              <w:rPr>
                <w:rFonts w:hint="eastAsia" w:hAnsi="宋体" w:cs="宋体"/>
                <w:color w:val="auto"/>
                <w:szCs w:val="21"/>
                <w:highlight w:val="none"/>
                <w:lang w:eastAsia="zh-CN"/>
              </w:rPr>
              <w:t>供应商</w:t>
            </w:r>
            <w:r>
              <w:rPr>
                <w:rFonts w:hint="eastAsia" w:hAnsi="宋体" w:cs="宋体"/>
                <w:color w:val="auto"/>
                <w:szCs w:val="21"/>
                <w:highlight w:val="none"/>
              </w:rPr>
              <w:t>在近3年在市级及以上的攻防演练中，协助深圳市党政机关单位取得优异成绩，并获得该单位的表扬信）：</w:t>
            </w:r>
          </w:p>
          <w:p>
            <w:pPr>
              <w:spacing w:line="340" w:lineRule="exact"/>
              <w:rPr>
                <w:rFonts w:hAnsi="宋体" w:cs="宋体"/>
                <w:color w:val="auto"/>
                <w:szCs w:val="21"/>
                <w:highlight w:val="none"/>
              </w:rPr>
            </w:pPr>
            <w:r>
              <w:rPr>
                <w:rFonts w:hint="eastAsia" w:hAnsi="宋体" w:cs="宋体"/>
                <w:color w:val="auto"/>
                <w:szCs w:val="21"/>
                <w:highlight w:val="none"/>
              </w:rPr>
              <w:t>评分依据：</w:t>
            </w:r>
          </w:p>
          <w:p>
            <w:pPr>
              <w:spacing w:line="340" w:lineRule="exact"/>
              <w:rPr>
                <w:rFonts w:hAnsi="宋体" w:cs="宋体"/>
                <w:color w:val="auto"/>
                <w:szCs w:val="21"/>
                <w:highlight w:val="none"/>
              </w:rPr>
            </w:pPr>
            <w:r>
              <w:rPr>
                <w:rFonts w:hint="eastAsia" w:hAnsi="宋体" w:cs="宋体"/>
                <w:color w:val="auto"/>
                <w:szCs w:val="21"/>
                <w:highlight w:val="none"/>
              </w:rPr>
              <w:t>1）每提供一个合同案例得2分，最高得6分；</w:t>
            </w:r>
          </w:p>
          <w:p>
            <w:pPr>
              <w:spacing w:line="340" w:lineRule="exact"/>
              <w:rPr>
                <w:rFonts w:hAnsi="宋体" w:cs="宋体"/>
                <w:color w:val="auto"/>
                <w:szCs w:val="21"/>
                <w:highlight w:val="none"/>
              </w:rPr>
            </w:pPr>
            <w:r>
              <w:rPr>
                <w:rFonts w:hint="eastAsia" w:hAnsi="宋体" w:cs="宋体"/>
                <w:color w:val="auto"/>
                <w:szCs w:val="21"/>
                <w:highlight w:val="none"/>
              </w:rPr>
              <w:t>2）提供合同关键信息作为得分依据。</w:t>
            </w:r>
          </w:p>
          <w:p>
            <w:pPr>
              <w:spacing w:line="340" w:lineRule="exact"/>
              <w:rPr>
                <w:rFonts w:hAnsi="宋体" w:cs="宋体"/>
                <w:color w:val="auto"/>
                <w:szCs w:val="21"/>
                <w:highlight w:val="none"/>
              </w:rPr>
            </w:pPr>
            <w:r>
              <w:rPr>
                <w:rFonts w:hint="eastAsia" w:hAnsi="宋体" w:cs="宋体"/>
                <w:color w:val="auto"/>
                <w:szCs w:val="21"/>
                <w:highlight w:val="none"/>
              </w:rPr>
              <w:t>3）通过合同关键信息无法判断的，须同时提供能证明经验的其它资料，如：项目报告或合同甲方出具的证明文件等。</w:t>
            </w:r>
          </w:p>
          <w:p>
            <w:pPr>
              <w:spacing w:line="340" w:lineRule="exact"/>
              <w:rPr>
                <w:rFonts w:hAnsi="宋体" w:cs="宋体"/>
                <w:color w:val="auto"/>
                <w:szCs w:val="21"/>
                <w:highlight w:val="none"/>
              </w:rPr>
            </w:pPr>
            <w:r>
              <w:rPr>
                <w:rFonts w:hint="eastAsia" w:hAnsi="宋体" w:cs="宋体"/>
                <w:color w:val="auto"/>
                <w:szCs w:val="21"/>
                <w:highlight w:val="none"/>
              </w:rPr>
              <w:t>4）以上资料要求提供复印件加盖公章，原件备查。评分中出现无证明资料或专家无法凭所提供资料判断不得分。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3</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投标人获奖情况</w:t>
            </w:r>
          </w:p>
        </w:tc>
        <w:tc>
          <w:tcPr>
            <w:tcW w:w="567"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5</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评审内容：</w:t>
            </w:r>
          </w:p>
          <w:p>
            <w:pPr>
              <w:spacing w:line="340" w:lineRule="exact"/>
              <w:rPr>
                <w:rFonts w:hAnsi="宋体" w:cs="宋体"/>
                <w:color w:val="auto"/>
                <w:szCs w:val="21"/>
                <w:highlight w:val="none"/>
              </w:rPr>
            </w:pPr>
            <w:r>
              <w:rPr>
                <w:rFonts w:hint="eastAsia" w:hAnsi="宋体" w:cs="宋体"/>
                <w:color w:val="auto"/>
                <w:szCs w:val="21"/>
                <w:highlight w:val="none"/>
              </w:rPr>
              <w:t>考察投</w:t>
            </w:r>
            <w:r>
              <w:rPr>
                <w:rFonts w:hint="eastAsia" w:hAnsi="宋体" w:cs="宋体"/>
                <w:color w:val="auto"/>
                <w:szCs w:val="21"/>
                <w:highlight w:val="none"/>
                <w:lang w:eastAsia="zh-CN"/>
              </w:rPr>
              <w:t>供应商</w:t>
            </w:r>
            <w:r>
              <w:rPr>
                <w:rFonts w:hint="eastAsia" w:hAnsi="宋体" w:cs="宋体"/>
                <w:color w:val="auto"/>
                <w:szCs w:val="21"/>
                <w:highlight w:val="none"/>
              </w:rPr>
              <w:t>须提供近三年在信息化服务项目中获得客户表扬或履约情况为优的情况，详细评分如下：</w:t>
            </w:r>
          </w:p>
          <w:p>
            <w:pPr>
              <w:spacing w:line="340" w:lineRule="exact"/>
              <w:rPr>
                <w:rFonts w:hAnsi="宋体" w:cs="宋体"/>
                <w:color w:val="auto"/>
                <w:szCs w:val="21"/>
                <w:highlight w:val="none"/>
              </w:rPr>
            </w:pPr>
            <w:r>
              <w:rPr>
                <w:rFonts w:hint="eastAsia" w:hAnsi="宋体" w:cs="宋体"/>
                <w:color w:val="auto"/>
                <w:szCs w:val="21"/>
                <w:highlight w:val="none"/>
              </w:rPr>
              <w:t>1）每提供有一个客户盖章的证明材料，得1分，最多得5分。</w:t>
            </w:r>
          </w:p>
          <w:p>
            <w:pPr>
              <w:spacing w:line="340" w:lineRule="exact"/>
              <w:rPr>
                <w:rFonts w:hAnsi="宋体" w:cs="宋体"/>
                <w:color w:val="auto"/>
                <w:szCs w:val="21"/>
                <w:highlight w:val="none"/>
              </w:rPr>
            </w:pPr>
            <w:r>
              <w:rPr>
                <w:rFonts w:hint="eastAsia" w:hAnsi="宋体" w:cs="宋体"/>
                <w:color w:val="auto"/>
                <w:szCs w:val="21"/>
                <w:highlight w:val="none"/>
              </w:rPr>
              <w:t>2）以上资料均要求提供复印件加盖公章（或官方网站截图），原件备查。评分中出现无证明资料或专家无法凭所提供资料判断是否得分的情况，一律作不得分处理。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4</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投标人自主知识产权产品（创新、设计）情况</w:t>
            </w:r>
          </w:p>
        </w:tc>
        <w:tc>
          <w:tcPr>
            <w:tcW w:w="567" w:type="dxa"/>
            <w:vAlign w:val="center"/>
          </w:tcPr>
          <w:p>
            <w:pPr>
              <w:spacing w:line="340" w:lineRule="exact"/>
              <w:rPr>
                <w:rFonts w:hAnsi="宋体" w:cs="宋体"/>
                <w:color w:val="auto"/>
                <w:szCs w:val="21"/>
                <w:highlight w:val="none"/>
              </w:rPr>
            </w:pPr>
            <w:r>
              <w:rPr>
                <w:rFonts w:hAnsi="宋体" w:cs="宋体"/>
                <w:color w:val="auto"/>
                <w:szCs w:val="21"/>
                <w:highlight w:val="none"/>
              </w:rPr>
              <w:t>8</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评分内容：</w:t>
            </w:r>
            <w:r>
              <w:rPr>
                <w:rFonts w:hint="eastAsia" w:hAnsi="宋体" w:cs="宋体"/>
                <w:color w:val="auto"/>
                <w:szCs w:val="21"/>
                <w:highlight w:val="none"/>
              </w:rPr>
              <w:br w:type="textWrapping"/>
            </w:r>
            <w:r>
              <w:rPr>
                <w:rFonts w:hint="eastAsia" w:hAnsi="宋体" w:cs="宋体"/>
                <w:color w:val="auto"/>
                <w:szCs w:val="21"/>
                <w:highlight w:val="none"/>
              </w:rPr>
              <w:t>投标人需为本项目配备漏洞扫描工具、数据库扫描工具、移动端扫描工具和网站安全监控产品各一套。项目服务期内，相关工具由国资委调配使用。并提供各工具的外部采购合同或具有投标人独立自主知识产权或计算机软件著作权登记证书证明材料。此项工具齐全得</w:t>
            </w:r>
            <w:r>
              <w:rPr>
                <w:rFonts w:hAnsi="宋体" w:cs="宋体"/>
                <w:color w:val="auto"/>
                <w:szCs w:val="21"/>
                <w:highlight w:val="none"/>
              </w:rPr>
              <w:t>8</w:t>
            </w:r>
            <w:r>
              <w:rPr>
                <w:rFonts w:hint="eastAsia" w:hAnsi="宋体" w:cs="宋体"/>
                <w:color w:val="auto"/>
                <w:szCs w:val="21"/>
                <w:highlight w:val="none"/>
              </w:rPr>
              <w:t>分，否则不得分。</w:t>
            </w:r>
            <w:r>
              <w:rPr>
                <w:rFonts w:hint="eastAsia" w:hAnsi="宋体" w:cs="宋体"/>
                <w:color w:val="auto"/>
                <w:szCs w:val="21"/>
                <w:highlight w:val="none"/>
              </w:rPr>
              <w:br w:type="textWrapping"/>
            </w:r>
            <w:r>
              <w:rPr>
                <w:rFonts w:hint="eastAsia" w:hAnsi="宋体" w:cs="宋体"/>
                <w:color w:val="auto"/>
                <w:szCs w:val="21"/>
                <w:highlight w:val="none"/>
              </w:rPr>
              <w:t>评分依据:</w:t>
            </w:r>
            <w:r>
              <w:rPr>
                <w:rFonts w:hint="eastAsia" w:hAnsi="宋体" w:cs="宋体"/>
                <w:color w:val="auto"/>
                <w:szCs w:val="21"/>
                <w:highlight w:val="none"/>
              </w:rPr>
              <w:br w:type="textWrapping"/>
            </w:r>
            <w:r>
              <w:rPr>
                <w:rFonts w:hint="eastAsia" w:hAnsi="宋体" w:cs="宋体"/>
                <w:color w:val="auto"/>
                <w:szCs w:val="21"/>
                <w:highlight w:val="none"/>
              </w:rPr>
              <w:t>1.须提供有效的计算机软件著作权登记证书复印件或授权证书复印件并加盖投标人公章，原件备查。</w:t>
            </w:r>
            <w:r>
              <w:rPr>
                <w:rFonts w:hint="eastAsia" w:hAnsi="宋体" w:cs="宋体"/>
                <w:color w:val="auto"/>
                <w:szCs w:val="21"/>
                <w:highlight w:val="none"/>
              </w:rPr>
              <w:br w:type="textWrapping"/>
            </w:r>
            <w:r>
              <w:rPr>
                <w:rFonts w:hint="eastAsia" w:hAnsi="宋体" w:cs="宋体"/>
                <w:color w:val="auto"/>
                <w:szCs w:val="21"/>
                <w:highlight w:val="none"/>
              </w:rPr>
              <w:t>2.未按要求承诺或未按要求提供或提供材料未能有效证明的不得分。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2" w:type="dxa"/>
            <w:vMerge w:val="continue"/>
            <w:vAlign w:val="center"/>
          </w:tcPr>
          <w:p>
            <w:pPr>
              <w:spacing w:line="340" w:lineRule="exact"/>
              <w:rPr>
                <w:rFonts w:hAnsi="宋体" w:cs="宋体"/>
                <w:color w:val="auto"/>
                <w:szCs w:val="21"/>
                <w:highlight w:val="none"/>
              </w:rPr>
            </w:pPr>
          </w:p>
        </w:tc>
        <w:tc>
          <w:tcPr>
            <w:tcW w:w="765" w:type="dxa"/>
            <w:vAlign w:val="center"/>
          </w:tcPr>
          <w:p>
            <w:pPr>
              <w:spacing w:line="340" w:lineRule="exact"/>
              <w:jc w:val="center"/>
              <w:rPr>
                <w:rFonts w:hAnsi="宋体" w:cs="宋体"/>
                <w:color w:val="auto"/>
                <w:szCs w:val="21"/>
                <w:highlight w:val="none"/>
              </w:rPr>
            </w:pPr>
            <w:r>
              <w:rPr>
                <w:rFonts w:hint="eastAsia" w:hAnsi="宋体" w:cs="宋体"/>
                <w:color w:val="auto"/>
                <w:szCs w:val="21"/>
                <w:highlight w:val="none"/>
              </w:rPr>
              <w:t>5</w:t>
            </w:r>
          </w:p>
        </w:tc>
        <w:tc>
          <w:tcPr>
            <w:tcW w:w="1559"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服务网点</w:t>
            </w:r>
          </w:p>
        </w:tc>
        <w:tc>
          <w:tcPr>
            <w:tcW w:w="567" w:type="dxa"/>
            <w:vAlign w:val="center"/>
          </w:tcPr>
          <w:p>
            <w:pPr>
              <w:spacing w:line="340" w:lineRule="exact"/>
              <w:rPr>
                <w:rFonts w:hAnsi="宋体" w:cs="宋体"/>
                <w:color w:val="auto"/>
                <w:szCs w:val="21"/>
                <w:highlight w:val="none"/>
              </w:rPr>
            </w:pPr>
            <w:r>
              <w:rPr>
                <w:rFonts w:hAnsi="宋体" w:cs="宋体"/>
                <w:color w:val="auto"/>
                <w:szCs w:val="21"/>
                <w:highlight w:val="none"/>
              </w:rPr>
              <w:t>2</w:t>
            </w:r>
          </w:p>
        </w:tc>
        <w:tc>
          <w:tcPr>
            <w:tcW w:w="1134" w:type="dxa"/>
            <w:vAlign w:val="center"/>
          </w:tcPr>
          <w:p>
            <w:pPr>
              <w:spacing w:line="340" w:lineRule="exact"/>
              <w:rPr>
                <w:rFonts w:hAnsi="宋体" w:cs="宋体"/>
                <w:color w:val="auto"/>
                <w:szCs w:val="21"/>
                <w:highlight w:val="none"/>
              </w:rPr>
            </w:pPr>
            <w:r>
              <w:rPr>
                <w:rFonts w:hint="eastAsia" w:hAnsi="宋体" w:cs="宋体"/>
                <w:color w:val="auto"/>
                <w:szCs w:val="21"/>
                <w:highlight w:val="none"/>
              </w:rPr>
              <w:t>招标单位评分</w:t>
            </w:r>
          </w:p>
        </w:tc>
        <w:tc>
          <w:tcPr>
            <w:tcW w:w="4010" w:type="dxa"/>
          </w:tcPr>
          <w:p>
            <w:pPr>
              <w:spacing w:line="340" w:lineRule="exact"/>
              <w:rPr>
                <w:rFonts w:hAnsi="宋体" w:cs="宋体"/>
                <w:color w:val="auto"/>
                <w:szCs w:val="21"/>
                <w:highlight w:val="none"/>
              </w:rPr>
            </w:pPr>
            <w:r>
              <w:rPr>
                <w:rFonts w:hint="eastAsia" w:hAnsi="宋体" w:cs="宋体"/>
                <w:color w:val="auto"/>
                <w:szCs w:val="21"/>
                <w:highlight w:val="none"/>
              </w:rPr>
              <w:t>评分内容：</w:t>
            </w:r>
          </w:p>
          <w:p>
            <w:pPr>
              <w:spacing w:line="340" w:lineRule="exact"/>
              <w:rPr>
                <w:rFonts w:hAnsi="宋体" w:cs="宋体"/>
                <w:color w:val="auto"/>
                <w:szCs w:val="21"/>
                <w:highlight w:val="none"/>
              </w:rPr>
            </w:pPr>
            <w:r>
              <w:rPr>
                <w:rFonts w:hint="eastAsia" w:hAnsi="宋体" w:cs="宋体"/>
                <w:color w:val="auto"/>
                <w:szCs w:val="21"/>
                <w:highlight w:val="none"/>
              </w:rPr>
              <w:t>投标人应为深圳本地</w:t>
            </w:r>
            <w:r>
              <w:rPr>
                <w:rFonts w:hint="eastAsia" w:hAnsi="宋体" w:cs="宋体"/>
                <w:color w:val="auto"/>
                <w:szCs w:val="21"/>
                <w:highlight w:val="none"/>
                <w:lang w:eastAsia="zh-CN"/>
              </w:rPr>
              <w:t>供应商</w:t>
            </w:r>
            <w:r>
              <w:rPr>
                <w:rFonts w:hint="eastAsia" w:hAnsi="宋体" w:cs="宋体"/>
                <w:color w:val="auto"/>
                <w:szCs w:val="21"/>
                <w:highlight w:val="none"/>
              </w:rPr>
              <w:t>，或非深圳</w:t>
            </w:r>
            <w:r>
              <w:rPr>
                <w:rFonts w:hint="eastAsia" w:hAnsi="宋体" w:cs="宋体"/>
                <w:color w:val="auto"/>
                <w:szCs w:val="21"/>
                <w:highlight w:val="none"/>
                <w:lang w:eastAsia="zh-CN"/>
              </w:rPr>
              <w:t>供应商</w:t>
            </w:r>
            <w:r>
              <w:rPr>
                <w:rFonts w:hint="eastAsia" w:hAnsi="宋体" w:cs="宋体"/>
                <w:color w:val="auto"/>
                <w:szCs w:val="21"/>
                <w:highlight w:val="none"/>
              </w:rPr>
              <w:t>但在深圳有合法注册的分公司（分公司的必须提供分公司营业执照扫描件，原件备查）的，得</w:t>
            </w:r>
            <w:r>
              <w:rPr>
                <w:rFonts w:hAnsi="宋体" w:cs="宋体"/>
                <w:color w:val="auto"/>
                <w:szCs w:val="21"/>
                <w:highlight w:val="none"/>
              </w:rPr>
              <w:t>2</w:t>
            </w:r>
            <w:r>
              <w:rPr>
                <w:rFonts w:hint="eastAsia" w:hAnsi="宋体" w:cs="宋体"/>
                <w:color w:val="auto"/>
                <w:szCs w:val="21"/>
                <w:highlight w:val="none"/>
              </w:rPr>
              <w:t>分；否则不得分。</w:t>
            </w:r>
          </w:p>
        </w:tc>
      </w:tr>
    </w:tbl>
    <w:p>
      <w:pPr>
        <w:pStyle w:val="3"/>
        <w:spacing w:before="156" w:after="156"/>
        <w:ind w:firstLine="720" w:firstLineChars="200"/>
        <w:rPr>
          <w:rFonts w:ascii="黑体" w:hAnsi="黑体" w:eastAsia="黑体" w:cs="黑体"/>
          <w:b w:val="0"/>
          <w:bCs w:val="0"/>
          <w:color w:val="auto"/>
          <w:highlight w:val="none"/>
        </w:rPr>
      </w:pPr>
      <w:r>
        <w:rPr>
          <w:rFonts w:hint="eastAsia" w:ascii="黑体" w:hAnsi="黑体" w:eastAsia="黑体" w:cs="黑体"/>
          <w:b w:val="0"/>
          <w:bCs w:val="0"/>
          <w:color w:val="auto"/>
          <w:highlight w:val="none"/>
        </w:rPr>
        <w:t>四、供应商资格要求</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1.在中华人民共和国国内注册的具有合法经营资格的法人或是具有独立承担民事责任能力的其它组织（提供营业执照或事业单位法人证书等证明资料扫描件，原件备查）；</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2.本项目不接受联合体投标，不接受投标人选用进口产品参与投标；</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3.参与本项目投标前三年内，在经营活动中没有重大违法记录（由供应商在《政府采购投标及履约承诺函》中作出声明）；</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4.参与本项目政府采购活动时不存在被有关部门禁止参与政府采购活动且在有效期内的情况（由供应商在《政府采购投标及履约承诺函》中作出声明）；</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5.具备《中华人民共和国政府采购法》第二十二条第一款的条件（由供应商在《政府采购投标及履约承诺函》中作出声明）；</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6.未被列入失信被执行人、重大税收违法案件当事人名单、政府采购严重违法失信行为记录名单（由供应商在《政府采购投标及履约承诺函》中作出声明）。</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注：“信用中国”、“中国政府采购网”、“深圳信用网”以及“深圳市政府采购监管网”为供应商信用信息的查询渠道。</w:t>
      </w:r>
    </w:p>
    <w:p>
      <w:pPr>
        <w:pStyle w:val="3"/>
        <w:spacing w:before="156" w:after="156"/>
        <w:ind w:firstLine="720" w:firstLineChars="200"/>
        <w:rPr>
          <w:rFonts w:ascii="黑体" w:hAnsi="黑体" w:eastAsia="黑体" w:cs="黑体"/>
          <w:b w:val="0"/>
          <w:bCs w:val="0"/>
          <w:color w:val="auto"/>
          <w:highlight w:val="none"/>
        </w:rPr>
      </w:pPr>
      <w:r>
        <w:rPr>
          <w:rFonts w:hint="eastAsia" w:ascii="黑体" w:hAnsi="黑体" w:eastAsia="黑体" w:cs="黑体"/>
          <w:b w:val="0"/>
          <w:bCs w:val="0"/>
          <w:color w:val="auto"/>
          <w:highlight w:val="none"/>
        </w:rPr>
        <w:t>五、商务要求</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（一）项目完成期限：2023年10月31日之前完成年度服务事项。</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（二）报价要求：本项目预算金额：人民币90</w:t>
      </w:r>
      <w:r>
        <w:rPr>
          <w:rFonts w:hint="eastAsia" w:hAnsi="宋体"/>
          <w:color w:val="auto"/>
          <w:kern w:val="0"/>
          <w:sz w:val="24"/>
          <w:szCs w:val="20"/>
          <w:highlight w:val="none"/>
          <w:lang w:eastAsia="zh-CN"/>
        </w:rPr>
        <w:t>万</w:t>
      </w:r>
      <w:bookmarkStart w:id="1" w:name="_GoBack"/>
      <w:bookmarkEnd w:id="1"/>
      <w:r>
        <w:rPr>
          <w:rFonts w:hint="eastAsia" w:hAnsi="宋体"/>
          <w:color w:val="auto"/>
          <w:kern w:val="0"/>
          <w:sz w:val="24"/>
          <w:szCs w:val="20"/>
          <w:highlight w:val="none"/>
        </w:rPr>
        <w:t>元，含所有税费。根据服务内容条款中的13项内容分别报价再汇总价。超出预算的报价为无效报价。</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（三）验收及付款方式</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1、2023年10月31日之前完成所有服务事项。</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2、年度服务事项完成后，市国资委及时按规定对该项目进行验收。</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应以书面形式向市国资委递交验收通知书，市国资委在收到验收通知书的7个工作日内，安排具体日期，由双方按照合同的规定完成项目验收。如符合要求，双方共同签署验收报告。如不符合要求，</w:t>
      </w:r>
      <w:r>
        <w:rPr>
          <w:rFonts w:hint="eastAsia" w:hAnsi="宋体"/>
          <w:color w:val="auto"/>
          <w:kern w:val="0"/>
          <w:sz w:val="24"/>
          <w:szCs w:val="20"/>
          <w:highlight w:val="none"/>
          <w:lang w:eastAsia="zh-CN"/>
        </w:rPr>
        <w:t>供应商</w:t>
      </w:r>
      <w:r>
        <w:rPr>
          <w:rFonts w:hint="eastAsia" w:hAnsi="宋体"/>
          <w:color w:val="auto"/>
          <w:kern w:val="0"/>
          <w:sz w:val="24"/>
          <w:szCs w:val="20"/>
          <w:highlight w:val="none"/>
        </w:rPr>
        <w:t>仍应予以整改，并承担相关费用，同时延长验收期限，直至项目完全符合验收标准。</w:t>
      </w:r>
    </w:p>
    <w:p>
      <w:pPr>
        <w:widowControl/>
        <w:spacing w:before="120" w:after="120" w:line="360" w:lineRule="auto"/>
        <w:ind w:firstLine="480" w:firstLineChars="200"/>
        <w:rPr>
          <w:rFonts w:hAnsi="宋体"/>
          <w:color w:val="auto"/>
          <w:kern w:val="0"/>
          <w:sz w:val="24"/>
          <w:szCs w:val="20"/>
          <w:highlight w:val="none"/>
        </w:rPr>
      </w:pPr>
      <w:r>
        <w:rPr>
          <w:rFonts w:hint="eastAsia" w:hAnsi="宋体"/>
          <w:color w:val="auto"/>
          <w:kern w:val="0"/>
          <w:sz w:val="24"/>
          <w:szCs w:val="20"/>
          <w:highlight w:val="none"/>
        </w:rPr>
        <w:t>3、支付方式采用年度服务费用与信息安全绩效考核成绩直接挂钩，根据信息安全绩效考核成绩动态调整实际支付服务费用的模式。其中服务费用的70%为固定支付费用，服务费用剩余30%为验收款，按照市国资委在2022年政府部门绩效评估指标体系中信息安全指标成绩（参考“网络安全与舆情应对”与“数字政府建设”2项指标）予以考核确定。其中：市国资委被上级信息安全主管单位通报1次，扣除合同总额的5%；2022年政府部门绩效评估指标体系中每一项信息安全指标被扣除0.5分，则扣除合同总额的1%；上述两项成绩不重复扣除费用，扣完合同总额30%为止。</w:t>
      </w:r>
    </w:p>
    <w:p>
      <w:pPr>
        <w:widowControl/>
        <w:spacing w:before="120" w:after="120" w:line="360" w:lineRule="auto"/>
        <w:ind w:firstLine="480" w:firstLineChars="200"/>
        <w:rPr>
          <w:rFonts w:hAnsi="宋体"/>
          <w:color w:val="auto"/>
          <w:kern w:val="0"/>
          <w:sz w:val="24"/>
          <w:szCs w:val="20"/>
          <w:highlight w:val="none"/>
        </w:rPr>
      </w:pPr>
    </w:p>
    <w:sectPr>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57AA5"/>
    <w:rsid w:val="0000325F"/>
    <w:rsid w:val="000131F9"/>
    <w:rsid w:val="000138DB"/>
    <w:rsid w:val="00016126"/>
    <w:rsid w:val="00025E60"/>
    <w:rsid w:val="00025F18"/>
    <w:rsid w:val="000261C7"/>
    <w:rsid w:val="000264C4"/>
    <w:rsid w:val="0003107A"/>
    <w:rsid w:val="00033DEB"/>
    <w:rsid w:val="00037D5A"/>
    <w:rsid w:val="000433F6"/>
    <w:rsid w:val="00046267"/>
    <w:rsid w:val="00051FC2"/>
    <w:rsid w:val="000539F5"/>
    <w:rsid w:val="00057FD4"/>
    <w:rsid w:val="00062EB5"/>
    <w:rsid w:val="00062F86"/>
    <w:rsid w:val="00063A54"/>
    <w:rsid w:val="00063CDC"/>
    <w:rsid w:val="00067D75"/>
    <w:rsid w:val="000722A4"/>
    <w:rsid w:val="00081815"/>
    <w:rsid w:val="00081F16"/>
    <w:rsid w:val="0008380B"/>
    <w:rsid w:val="000879DD"/>
    <w:rsid w:val="000935E7"/>
    <w:rsid w:val="00095E97"/>
    <w:rsid w:val="000C058F"/>
    <w:rsid w:val="000C2122"/>
    <w:rsid w:val="000C37AB"/>
    <w:rsid w:val="000C7BCB"/>
    <w:rsid w:val="000D0A31"/>
    <w:rsid w:val="000D164E"/>
    <w:rsid w:val="000D40AA"/>
    <w:rsid w:val="000D40EA"/>
    <w:rsid w:val="000D4C09"/>
    <w:rsid w:val="000D4D25"/>
    <w:rsid w:val="000E3742"/>
    <w:rsid w:val="000F2864"/>
    <w:rsid w:val="000F3853"/>
    <w:rsid w:val="000F554C"/>
    <w:rsid w:val="000F65BB"/>
    <w:rsid w:val="000F7AF1"/>
    <w:rsid w:val="0010097F"/>
    <w:rsid w:val="00100B06"/>
    <w:rsid w:val="00101DF3"/>
    <w:rsid w:val="00107270"/>
    <w:rsid w:val="00114465"/>
    <w:rsid w:val="00115540"/>
    <w:rsid w:val="00122160"/>
    <w:rsid w:val="00123FE6"/>
    <w:rsid w:val="00125E89"/>
    <w:rsid w:val="00126568"/>
    <w:rsid w:val="0013118E"/>
    <w:rsid w:val="00131A02"/>
    <w:rsid w:val="001336B0"/>
    <w:rsid w:val="001358B2"/>
    <w:rsid w:val="00137AED"/>
    <w:rsid w:val="00137D8E"/>
    <w:rsid w:val="00140FF5"/>
    <w:rsid w:val="00143F72"/>
    <w:rsid w:val="00145F22"/>
    <w:rsid w:val="001533F9"/>
    <w:rsid w:val="00155346"/>
    <w:rsid w:val="0016434C"/>
    <w:rsid w:val="00174158"/>
    <w:rsid w:val="0017492F"/>
    <w:rsid w:val="00180863"/>
    <w:rsid w:val="001846A1"/>
    <w:rsid w:val="00185A26"/>
    <w:rsid w:val="00187E0A"/>
    <w:rsid w:val="00192E02"/>
    <w:rsid w:val="0019545C"/>
    <w:rsid w:val="001959FD"/>
    <w:rsid w:val="0019622D"/>
    <w:rsid w:val="001A0747"/>
    <w:rsid w:val="001A73FF"/>
    <w:rsid w:val="001B0677"/>
    <w:rsid w:val="001B06DE"/>
    <w:rsid w:val="001B4024"/>
    <w:rsid w:val="001B4B4D"/>
    <w:rsid w:val="001B4FF4"/>
    <w:rsid w:val="001B567E"/>
    <w:rsid w:val="001C1BBB"/>
    <w:rsid w:val="001C28AF"/>
    <w:rsid w:val="001C6934"/>
    <w:rsid w:val="001C7765"/>
    <w:rsid w:val="001D0DBC"/>
    <w:rsid w:val="001D6496"/>
    <w:rsid w:val="001D7E82"/>
    <w:rsid w:val="001E18A8"/>
    <w:rsid w:val="001E6D13"/>
    <w:rsid w:val="001E6D27"/>
    <w:rsid w:val="001E7EEE"/>
    <w:rsid w:val="001F7800"/>
    <w:rsid w:val="002121E4"/>
    <w:rsid w:val="00216C76"/>
    <w:rsid w:val="002225E6"/>
    <w:rsid w:val="002254D7"/>
    <w:rsid w:val="00237021"/>
    <w:rsid w:val="00243842"/>
    <w:rsid w:val="00245218"/>
    <w:rsid w:val="002458B9"/>
    <w:rsid w:val="002473EF"/>
    <w:rsid w:val="002537B6"/>
    <w:rsid w:val="002602CB"/>
    <w:rsid w:val="0027044F"/>
    <w:rsid w:val="002735C4"/>
    <w:rsid w:val="002745E6"/>
    <w:rsid w:val="00276EBC"/>
    <w:rsid w:val="002834A7"/>
    <w:rsid w:val="002854ED"/>
    <w:rsid w:val="002866E6"/>
    <w:rsid w:val="00294935"/>
    <w:rsid w:val="00296152"/>
    <w:rsid w:val="00296D90"/>
    <w:rsid w:val="002970B6"/>
    <w:rsid w:val="002A4DA6"/>
    <w:rsid w:val="002A54F6"/>
    <w:rsid w:val="002A718A"/>
    <w:rsid w:val="002B3990"/>
    <w:rsid w:val="002B7824"/>
    <w:rsid w:val="002C12DE"/>
    <w:rsid w:val="002C26B8"/>
    <w:rsid w:val="002C5F31"/>
    <w:rsid w:val="002D0AC8"/>
    <w:rsid w:val="002D1C1D"/>
    <w:rsid w:val="002D3C60"/>
    <w:rsid w:val="002D5082"/>
    <w:rsid w:val="002D7E63"/>
    <w:rsid w:val="002E112F"/>
    <w:rsid w:val="002E60BB"/>
    <w:rsid w:val="002F34D6"/>
    <w:rsid w:val="002F5533"/>
    <w:rsid w:val="003002FA"/>
    <w:rsid w:val="003052FE"/>
    <w:rsid w:val="0031523C"/>
    <w:rsid w:val="003155BC"/>
    <w:rsid w:val="003201E8"/>
    <w:rsid w:val="00323688"/>
    <w:rsid w:val="00326064"/>
    <w:rsid w:val="003262F1"/>
    <w:rsid w:val="00327868"/>
    <w:rsid w:val="00332721"/>
    <w:rsid w:val="0033460D"/>
    <w:rsid w:val="00341F4F"/>
    <w:rsid w:val="00342B55"/>
    <w:rsid w:val="00346A50"/>
    <w:rsid w:val="003547F4"/>
    <w:rsid w:val="003560BC"/>
    <w:rsid w:val="00361873"/>
    <w:rsid w:val="00365FAD"/>
    <w:rsid w:val="00372A29"/>
    <w:rsid w:val="00372FEB"/>
    <w:rsid w:val="00374D74"/>
    <w:rsid w:val="003753AC"/>
    <w:rsid w:val="0038170E"/>
    <w:rsid w:val="00386DBE"/>
    <w:rsid w:val="00392A17"/>
    <w:rsid w:val="003A1BD7"/>
    <w:rsid w:val="003B471B"/>
    <w:rsid w:val="003C21F3"/>
    <w:rsid w:val="003C3013"/>
    <w:rsid w:val="003C38A2"/>
    <w:rsid w:val="003C662C"/>
    <w:rsid w:val="003C7ED2"/>
    <w:rsid w:val="003D0DA6"/>
    <w:rsid w:val="003D1ADD"/>
    <w:rsid w:val="003D2C49"/>
    <w:rsid w:val="003D388F"/>
    <w:rsid w:val="003D75E2"/>
    <w:rsid w:val="003E0733"/>
    <w:rsid w:val="003E0919"/>
    <w:rsid w:val="003F4BD6"/>
    <w:rsid w:val="003F543C"/>
    <w:rsid w:val="004002EE"/>
    <w:rsid w:val="00401FE5"/>
    <w:rsid w:val="00402E7C"/>
    <w:rsid w:val="00403A93"/>
    <w:rsid w:val="00403E5E"/>
    <w:rsid w:val="0040734A"/>
    <w:rsid w:val="004165E3"/>
    <w:rsid w:val="00416A79"/>
    <w:rsid w:val="0042009F"/>
    <w:rsid w:val="00421CC3"/>
    <w:rsid w:val="00422CD1"/>
    <w:rsid w:val="004331E0"/>
    <w:rsid w:val="00436379"/>
    <w:rsid w:val="004367FB"/>
    <w:rsid w:val="004401B8"/>
    <w:rsid w:val="00443E82"/>
    <w:rsid w:val="004501DC"/>
    <w:rsid w:val="00453EE6"/>
    <w:rsid w:val="00466C73"/>
    <w:rsid w:val="00477DA8"/>
    <w:rsid w:val="0048219D"/>
    <w:rsid w:val="00485234"/>
    <w:rsid w:val="004951B6"/>
    <w:rsid w:val="00497C6F"/>
    <w:rsid w:val="004A0293"/>
    <w:rsid w:val="004A3B8D"/>
    <w:rsid w:val="004A56D2"/>
    <w:rsid w:val="004A5903"/>
    <w:rsid w:val="004A6BD9"/>
    <w:rsid w:val="004B4E9D"/>
    <w:rsid w:val="004B6B8F"/>
    <w:rsid w:val="004B785F"/>
    <w:rsid w:val="004C0A74"/>
    <w:rsid w:val="004D4F65"/>
    <w:rsid w:val="004D5BE6"/>
    <w:rsid w:val="004E56FE"/>
    <w:rsid w:val="004F03AA"/>
    <w:rsid w:val="004F271E"/>
    <w:rsid w:val="004F4978"/>
    <w:rsid w:val="0050118D"/>
    <w:rsid w:val="005022BD"/>
    <w:rsid w:val="00503684"/>
    <w:rsid w:val="005044C5"/>
    <w:rsid w:val="00516345"/>
    <w:rsid w:val="00516AF4"/>
    <w:rsid w:val="005233D0"/>
    <w:rsid w:val="00526420"/>
    <w:rsid w:val="005265C0"/>
    <w:rsid w:val="00530226"/>
    <w:rsid w:val="00540568"/>
    <w:rsid w:val="00540644"/>
    <w:rsid w:val="00543454"/>
    <w:rsid w:val="005438F2"/>
    <w:rsid w:val="00544E56"/>
    <w:rsid w:val="00546084"/>
    <w:rsid w:val="00553EC1"/>
    <w:rsid w:val="005544EC"/>
    <w:rsid w:val="00554925"/>
    <w:rsid w:val="00560AF7"/>
    <w:rsid w:val="00562673"/>
    <w:rsid w:val="00563F15"/>
    <w:rsid w:val="00565ABB"/>
    <w:rsid w:val="0057270B"/>
    <w:rsid w:val="00575631"/>
    <w:rsid w:val="00577B53"/>
    <w:rsid w:val="0058341A"/>
    <w:rsid w:val="00587248"/>
    <w:rsid w:val="00590FF1"/>
    <w:rsid w:val="0059109E"/>
    <w:rsid w:val="005966D7"/>
    <w:rsid w:val="00597E92"/>
    <w:rsid w:val="005A1B0C"/>
    <w:rsid w:val="005A463C"/>
    <w:rsid w:val="005A66E4"/>
    <w:rsid w:val="005B07CD"/>
    <w:rsid w:val="005B278C"/>
    <w:rsid w:val="005B5AEB"/>
    <w:rsid w:val="005B76FE"/>
    <w:rsid w:val="005C17FC"/>
    <w:rsid w:val="005C2F49"/>
    <w:rsid w:val="005C4992"/>
    <w:rsid w:val="005C62B2"/>
    <w:rsid w:val="005D0C80"/>
    <w:rsid w:val="005E2DAB"/>
    <w:rsid w:val="005E32A4"/>
    <w:rsid w:val="005E424D"/>
    <w:rsid w:val="005E7546"/>
    <w:rsid w:val="005F3D72"/>
    <w:rsid w:val="00601206"/>
    <w:rsid w:val="0060132E"/>
    <w:rsid w:val="006016CE"/>
    <w:rsid w:val="00606556"/>
    <w:rsid w:val="00612858"/>
    <w:rsid w:val="0061472A"/>
    <w:rsid w:val="006169A3"/>
    <w:rsid w:val="00625989"/>
    <w:rsid w:val="0063050A"/>
    <w:rsid w:val="00631A0E"/>
    <w:rsid w:val="00642AEB"/>
    <w:rsid w:val="00642D04"/>
    <w:rsid w:val="0064347B"/>
    <w:rsid w:val="00662CA2"/>
    <w:rsid w:val="00671016"/>
    <w:rsid w:val="00671EC7"/>
    <w:rsid w:val="006725A7"/>
    <w:rsid w:val="006754DE"/>
    <w:rsid w:val="00677654"/>
    <w:rsid w:val="00682CE8"/>
    <w:rsid w:val="006856ED"/>
    <w:rsid w:val="00685D6F"/>
    <w:rsid w:val="00686E3F"/>
    <w:rsid w:val="0069701B"/>
    <w:rsid w:val="0069783B"/>
    <w:rsid w:val="006B1235"/>
    <w:rsid w:val="006B19F0"/>
    <w:rsid w:val="006B24F8"/>
    <w:rsid w:val="006B4707"/>
    <w:rsid w:val="006B7A89"/>
    <w:rsid w:val="006C56EB"/>
    <w:rsid w:val="006E03CE"/>
    <w:rsid w:val="006E4D44"/>
    <w:rsid w:val="006E6036"/>
    <w:rsid w:val="0070045F"/>
    <w:rsid w:val="00700601"/>
    <w:rsid w:val="007018AC"/>
    <w:rsid w:val="00727EB5"/>
    <w:rsid w:val="00732D0E"/>
    <w:rsid w:val="00733811"/>
    <w:rsid w:val="0073662F"/>
    <w:rsid w:val="007366BD"/>
    <w:rsid w:val="00737812"/>
    <w:rsid w:val="0074408E"/>
    <w:rsid w:val="007454BE"/>
    <w:rsid w:val="00747580"/>
    <w:rsid w:val="00754C13"/>
    <w:rsid w:val="007647A2"/>
    <w:rsid w:val="00786C7B"/>
    <w:rsid w:val="00786EE2"/>
    <w:rsid w:val="00791D8A"/>
    <w:rsid w:val="00796365"/>
    <w:rsid w:val="007A10CF"/>
    <w:rsid w:val="007A1AA7"/>
    <w:rsid w:val="007A2BA4"/>
    <w:rsid w:val="007A365C"/>
    <w:rsid w:val="007A782D"/>
    <w:rsid w:val="007B30CA"/>
    <w:rsid w:val="007C0A86"/>
    <w:rsid w:val="007C39F8"/>
    <w:rsid w:val="007C3DBD"/>
    <w:rsid w:val="007C5040"/>
    <w:rsid w:val="007C55EC"/>
    <w:rsid w:val="007C63F4"/>
    <w:rsid w:val="007D03F2"/>
    <w:rsid w:val="007D5395"/>
    <w:rsid w:val="007D7D89"/>
    <w:rsid w:val="007E2DBC"/>
    <w:rsid w:val="007F24AB"/>
    <w:rsid w:val="008030BE"/>
    <w:rsid w:val="008036AE"/>
    <w:rsid w:val="008137A3"/>
    <w:rsid w:val="00825B41"/>
    <w:rsid w:val="00827F38"/>
    <w:rsid w:val="008330E1"/>
    <w:rsid w:val="00833413"/>
    <w:rsid w:val="00836141"/>
    <w:rsid w:val="00837182"/>
    <w:rsid w:val="00841873"/>
    <w:rsid w:val="008512A1"/>
    <w:rsid w:val="00852A7D"/>
    <w:rsid w:val="00854D7F"/>
    <w:rsid w:val="00854F74"/>
    <w:rsid w:val="00856F81"/>
    <w:rsid w:val="0087193D"/>
    <w:rsid w:val="0087235F"/>
    <w:rsid w:val="00880B24"/>
    <w:rsid w:val="0088247F"/>
    <w:rsid w:val="0088306E"/>
    <w:rsid w:val="008859E5"/>
    <w:rsid w:val="00886BF4"/>
    <w:rsid w:val="00890649"/>
    <w:rsid w:val="00894B6C"/>
    <w:rsid w:val="008A1179"/>
    <w:rsid w:val="008A1A13"/>
    <w:rsid w:val="008A1BAB"/>
    <w:rsid w:val="008A53EC"/>
    <w:rsid w:val="008B103D"/>
    <w:rsid w:val="008B3304"/>
    <w:rsid w:val="008C591E"/>
    <w:rsid w:val="008D2E0E"/>
    <w:rsid w:val="008E504C"/>
    <w:rsid w:val="008F1A29"/>
    <w:rsid w:val="008F2C37"/>
    <w:rsid w:val="008F7E49"/>
    <w:rsid w:val="00901796"/>
    <w:rsid w:val="00911A43"/>
    <w:rsid w:val="00917832"/>
    <w:rsid w:val="00927A3D"/>
    <w:rsid w:val="009329EC"/>
    <w:rsid w:val="00934CB4"/>
    <w:rsid w:val="009355E6"/>
    <w:rsid w:val="009408DC"/>
    <w:rsid w:val="00941487"/>
    <w:rsid w:val="00944649"/>
    <w:rsid w:val="00946DD3"/>
    <w:rsid w:val="00953AA5"/>
    <w:rsid w:val="00955131"/>
    <w:rsid w:val="009558A9"/>
    <w:rsid w:val="0096164D"/>
    <w:rsid w:val="00966649"/>
    <w:rsid w:val="0097236C"/>
    <w:rsid w:val="009756BC"/>
    <w:rsid w:val="00982B0F"/>
    <w:rsid w:val="0098364F"/>
    <w:rsid w:val="00984682"/>
    <w:rsid w:val="00985DAF"/>
    <w:rsid w:val="00987540"/>
    <w:rsid w:val="009A4974"/>
    <w:rsid w:val="009B1A28"/>
    <w:rsid w:val="009B6E69"/>
    <w:rsid w:val="009C3E7F"/>
    <w:rsid w:val="009C4B54"/>
    <w:rsid w:val="009D1D17"/>
    <w:rsid w:val="009D35D5"/>
    <w:rsid w:val="009D5F40"/>
    <w:rsid w:val="009D69AB"/>
    <w:rsid w:val="009D771F"/>
    <w:rsid w:val="009E05B4"/>
    <w:rsid w:val="009E0D07"/>
    <w:rsid w:val="009E406A"/>
    <w:rsid w:val="009E427F"/>
    <w:rsid w:val="009E5408"/>
    <w:rsid w:val="009E5C5E"/>
    <w:rsid w:val="009E5FBE"/>
    <w:rsid w:val="009E74A6"/>
    <w:rsid w:val="009F4861"/>
    <w:rsid w:val="009F4E3E"/>
    <w:rsid w:val="009F74A9"/>
    <w:rsid w:val="00A012E8"/>
    <w:rsid w:val="00A01A60"/>
    <w:rsid w:val="00A02975"/>
    <w:rsid w:val="00A04146"/>
    <w:rsid w:val="00A1205D"/>
    <w:rsid w:val="00A13987"/>
    <w:rsid w:val="00A1743E"/>
    <w:rsid w:val="00A17D9B"/>
    <w:rsid w:val="00A200DA"/>
    <w:rsid w:val="00A248D8"/>
    <w:rsid w:val="00A33101"/>
    <w:rsid w:val="00A339B0"/>
    <w:rsid w:val="00A37F02"/>
    <w:rsid w:val="00A42A90"/>
    <w:rsid w:val="00A45223"/>
    <w:rsid w:val="00A45C8A"/>
    <w:rsid w:val="00A514E9"/>
    <w:rsid w:val="00A522FC"/>
    <w:rsid w:val="00A52B7F"/>
    <w:rsid w:val="00A57AA5"/>
    <w:rsid w:val="00A61E99"/>
    <w:rsid w:val="00A633F0"/>
    <w:rsid w:val="00A65A81"/>
    <w:rsid w:val="00A66470"/>
    <w:rsid w:val="00A676C1"/>
    <w:rsid w:val="00A731CC"/>
    <w:rsid w:val="00A75847"/>
    <w:rsid w:val="00A75941"/>
    <w:rsid w:val="00A7659C"/>
    <w:rsid w:val="00A768FC"/>
    <w:rsid w:val="00A8258F"/>
    <w:rsid w:val="00A85671"/>
    <w:rsid w:val="00A877EE"/>
    <w:rsid w:val="00A93817"/>
    <w:rsid w:val="00A976DE"/>
    <w:rsid w:val="00AA2C0F"/>
    <w:rsid w:val="00AB018D"/>
    <w:rsid w:val="00AB1659"/>
    <w:rsid w:val="00AB5BF0"/>
    <w:rsid w:val="00AC0722"/>
    <w:rsid w:val="00AC1BEE"/>
    <w:rsid w:val="00AC7FE6"/>
    <w:rsid w:val="00AD0A98"/>
    <w:rsid w:val="00AD13D9"/>
    <w:rsid w:val="00AD64A8"/>
    <w:rsid w:val="00AE2E7F"/>
    <w:rsid w:val="00AF1517"/>
    <w:rsid w:val="00AF1F99"/>
    <w:rsid w:val="00AF27F9"/>
    <w:rsid w:val="00AF3265"/>
    <w:rsid w:val="00AF468B"/>
    <w:rsid w:val="00AF4B2B"/>
    <w:rsid w:val="00B01C4F"/>
    <w:rsid w:val="00B039F2"/>
    <w:rsid w:val="00B050A5"/>
    <w:rsid w:val="00B13583"/>
    <w:rsid w:val="00B13C9A"/>
    <w:rsid w:val="00B142D9"/>
    <w:rsid w:val="00B15467"/>
    <w:rsid w:val="00B271C5"/>
    <w:rsid w:val="00B321D5"/>
    <w:rsid w:val="00B32FCD"/>
    <w:rsid w:val="00B34ED1"/>
    <w:rsid w:val="00B35681"/>
    <w:rsid w:val="00B40691"/>
    <w:rsid w:val="00B45169"/>
    <w:rsid w:val="00B472B3"/>
    <w:rsid w:val="00B51E5B"/>
    <w:rsid w:val="00B54527"/>
    <w:rsid w:val="00B5569B"/>
    <w:rsid w:val="00B64DA6"/>
    <w:rsid w:val="00B654A6"/>
    <w:rsid w:val="00B669FF"/>
    <w:rsid w:val="00B703AE"/>
    <w:rsid w:val="00B71341"/>
    <w:rsid w:val="00B763BF"/>
    <w:rsid w:val="00B86B2F"/>
    <w:rsid w:val="00B96C4A"/>
    <w:rsid w:val="00BA102F"/>
    <w:rsid w:val="00BA4387"/>
    <w:rsid w:val="00BA5CE5"/>
    <w:rsid w:val="00BA7AB6"/>
    <w:rsid w:val="00BB6026"/>
    <w:rsid w:val="00BB6726"/>
    <w:rsid w:val="00BB7CF0"/>
    <w:rsid w:val="00BC1B4A"/>
    <w:rsid w:val="00BC4165"/>
    <w:rsid w:val="00BC471C"/>
    <w:rsid w:val="00BD42C6"/>
    <w:rsid w:val="00BE2475"/>
    <w:rsid w:val="00BE5D7A"/>
    <w:rsid w:val="00BE69CA"/>
    <w:rsid w:val="00BF28E6"/>
    <w:rsid w:val="00BF2E3B"/>
    <w:rsid w:val="00BF5B9F"/>
    <w:rsid w:val="00BF6813"/>
    <w:rsid w:val="00BF692A"/>
    <w:rsid w:val="00C01204"/>
    <w:rsid w:val="00C069D7"/>
    <w:rsid w:val="00C07042"/>
    <w:rsid w:val="00C079EA"/>
    <w:rsid w:val="00C10A0B"/>
    <w:rsid w:val="00C1369A"/>
    <w:rsid w:val="00C1477A"/>
    <w:rsid w:val="00C21836"/>
    <w:rsid w:val="00C26389"/>
    <w:rsid w:val="00C27119"/>
    <w:rsid w:val="00C4192A"/>
    <w:rsid w:val="00C504AC"/>
    <w:rsid w:val="00C52EF6"/>
    <w:rsid w:val="00C57BAD"/>
    <w:rsid w:val="00C60601"/>
    <w:rsid w:val="00C71DEA"/>
    <w:rsid w:val="00C731BB"/>
    <w:rsid w:val="00C734A2"/>
    <w:rsid w:val="00C772D1"/>
    <w:rsid w:val="00C80399"/>
    <w:rsid w:val="00C94215"/>
    <w:rsid w:val="00CA165C"/>
    <w:rsid w:val="00CA2DFC"/>
    <w:rsid w:val="00CA31F6"/>
    <w:rsid w:val="00CA3361"/>
    <w:rsid w:val="00CA496A"/>
    <w:rsid w:val="00CB400E"/>
    <w:rsid w:val="00CB5390"/>
    <w:rsid w:val="00CB5F61"/>
    <w:rsid w:val="00CC0C24"/>
    <w:rsid w:val="00CC2B68"/>
    <w:rsid w:val="00CC5A24"/>
    <w:rsid w:val="00CD0B5F"/>
    <w:rsid w:val="00CD1E3E"/>
    <w:rsid w:val="00CD2921"/>
    <w:rsid w:val="00CD2A6A"/>
    <w:rsid w:val="00CE3CFF"/>
    <w:rsid w:val="00CE6EE3"/>
    <w:rsid w:val="00CE71C6"/>
    <w:rsid w:val="00CF3388"/>
    <w:rsid w:val="00CF57A5"/>
    <w:rsid w:val="00CF6C9E"/>
    <w:rsid w:val="00D04819"/>
    <w:rsid w:val="00D11079"/>
    <w:rsid w:val="00D30B4C"/>
    <w:rsid w:val="00D342CD"/>
    <w:rsid w:val="00D34E34"/>
    <w:rsid w:val="00D451D1"/>
    <w:rsid w:val="00D60280"/>
    <w:rsid w:val="00D616FD"/>
    <w:rsid w:val="00D62999"/>
    <w:rsid w:val="00D67392"/>
    <w:rsid w:val="00D718D2"/>
    <w:rsid w:val="00D85301"/>
    <w:rsid w:val="00D9281C"/>
    <w:rsid w:val="00D92AC6"/>
    <w:rsid w:val="00D96459"/>
    <w:rsid w:val="00DA48E8"/>
    <w:rsid w:val="00DB3864"/>
    <w:rsid w:val="00DB6642"/>
    <w:rsid w:val="00DC10DB"/>
    <w:rsid w:val="00DC46BE"/>
    <w:rsid w:val="00DD273D"/>
    <w:rsid w:val="00DD2EBA"/>
    <w:rsid w:val="00DD619F"/>
    <w:rsid w:val="00DE00AF"/>
    <w:rsid w:val="00DE1148"/>
    <w:rsid w:val="00DE7CD9"/>
    <w:rsid w:val="00DF14F6"/>
    <w:rsid w:val="00DF250D"/>
    <w:rsid w:val="00E02D0A"/>
    <w:rsid w:val="00E03A01"/>
    <w:rsid w:val="00E03C24"/>
    <w:rsid w:val="00E05B85"/>
    <w:rsid w:val="00E0673D"/>
    <w:rsid w:val="00E152CC"/>
    <w:rsid w:val="00E2259B"/>
    <w:rsid w:val="00E2377E"/>
    <w:rsid w:val="00E25A38"/>
    <w:rsid w:val="00E25DC3"/>
    <w:rsid w:val="00E279B2"/>
    <w:rsid w:val="00E30809"/>
    <w:rsid w:val="00E36965"/>
    <w:rsid w:val="00E41541"/>
    <w:rsid w:val="00E43AB1"/>
    <w:rsid w:val="00E43D57"/>
    <w:rsid w:val="00E53A5E"/>
    <w:rsid w:val="00E53BA5"/>
    <w:rsid w:val="00E550FB"/>
    <w:rsid w:val="00E5590E"/>
    <w:rsid w:val="00E56BAD"/>
    <w:rsid w:val="00E6511A"/>
    <w:rsid w:val="00E66881"/>
    <w:rsid w:val="00E746B5"/>
    <w:rsid w:val="00E766D3"/>
    <w:rsid w:val="00E77C4D"/>
    <w:rsid w:val="00E8122D"/>
    <w:rsid w:val="00E869AA"/>
    <w:rsid w:val="00E906DD"/>
    <w:rsid w:val="00E937E9"/>
    <w:rsid w:val="00E95BB9"/>
    <w:rsid w:val="00EA6508"/>
    <w:rsid w:val="00EB7047"/>
    <w:rsid w:val="00EC11AA"/>
    <w:rsid w:val="00EC42FC"/>
    <w:rsid w:val="00EC469A"/>
    <w:rsid w:val="00EC72E3"/>
    <w:rsid w:val="00EC7730"/>
    <w:rsid w:val="00ED4D72"/>
    <w:rsid w:val="00EE7EF6"/>
    <w:rsid w:val="00EF0657"/>
    <w:rsid w:val="00EF1E7F"/>
    <w:rsid w:val="00EF6BBF"/>
    <w:rsid w:val="00F1048A"/>
    <w:rsid w:val="00F1390F"/>
    <w:rsid w:val="00F147B7"/>
    <w:rsid w:val="00F1581F"/>
    <w:rsid w:val="00F210CC"/>
    <w:rsid w:val="00F21A9E"/>
    <w:rsid w:val="00F229DB"/>
    <w:rsid w:val="00F33D43"/>
    <w:rsid w:val="00F41B59"/>
    <w:rsid w:val="00F43BF2"/>
    <w:rsid w:val="00F47268"/>
    <w:rsid w:val="00F52AF5"/>
    <w:rsid w:val="00F5413C"/>
    <w:rsid w:val="00F55340"/>
    <w:rsid w:val="00F57BB3"/>
    <w:rsid w:val="00F603F5"/>
    <w:rsid w:val="00F62BE8"/>
    <w:rsid w:val="00F70442"/>
    <w:rsid w:val="00F72605"/>
    <w:rsid w:val="00F7387C"/>
    <w:rsid w:val="00F73F57"/>
    <w:rsid w:val="00F8239B"/>
    <w:rsid w:val="00F87A7F"/>
    <w:rsid w:val="00F94D30"/>
    <w:rsid w:val="00FA16A7"/>
    <w:rsid w:val="00FA2BA4"/>
    <w:rsid w:val="00FB35B4"/>
    <w:rsid w:val="00FB36C5"/>
    <w:rsid w:val="00FC5929"/>
    <w:rsid w:val="00FD6ECE"/>
    <w:rsid w:val="00FE6CA1"/>
    <w:rsid w:val="00FF0710"/>
    <w:rsid w:val="00FF5F28"/>
    <w:rsid w:val="01731D2A"/>
    <w:rsid w:val="04502D57"/>
    <w:rsid w:val="0CC827E6"/>
    <w:rsid w:val="0E0049F4"/>
    <w:rsid w:val="10FB3A8B"/>
    <w:rsid w:val="11BF1134"/>
    <w:rsid w:val="140A55F2"/>
    <w:rsid w:val="14BA2084"/>
    <w:rsid w:val="15173065"/>
    <w:rsid w:val="1631414E"/>
    <w:rsid w:val="169C7949"/>
    <w:rsid w:val="1AEC2E29"/>
    <w:rsid w:val="1EE73BBE"/>
    <w:rsid w:val="217F4C43"/>
    <w:rsid w:val="23676091"/>
    <w:rsid w:val="24391DF8"/>
    <w:rsid w:val="26DA5E42"/>
    <w:rsid w:val="27252565"/>
    <w:rsid w:val="2842025E"/>
    <w:rsid w:val="32752BF1"/>
    <w:rsid w:val="34756F27"/>
    <w:rsid w:val="3B9D2E70"/>
    <w:rsid w:val="3D732D1B"/>
    <w:rsid w:val="3EEA36C4"/>
    <w:rsid w:val="448E4F1F"/>
    <w:rsid w:val="44B24063"/>
    <w:rsid w:val="46DF27AF"/>
    <w:rsid w:val="47175637"/>
    <w:rsid w:val="48EA0217"/>
    <w:rsid w:val="49FD2850"/>
    <w:rsid w:val="4D5C0900"/>
    <w:rsid w:val="4DF31907"/>
    <w:rsid w:val="4EAE4C5C"/>
    <w:rsid w:val="5002652B"/>
    <w:rsid w:val="55331544"/>
    <w:rsid w:val="599A46A7"/>
    <w:rsid w:val="5A7A0B3D"/>
    <w:rsid w:val="5DAE47D6"/>
    <w:rsid w:val="62D52E81"/>
    <w:rsid w:val="65A65621"/>
    <w:rsid w:val="69072B86"/>
    <w:rsid w:val="6DBFFC14"/>
    <w:rsid w:val="77DA0EF2"/>
    <w:rsid w:val="78F22D59"/>
    <w:rsid w:val="79A74CD2"/>
    <w:rsid w:val="7A5E76E9"/>
    <w:rsid w:val="7B1D4905"/>
    <w:rsid w:val="7BD7D2DA"/>
    <w:rsid w:val="7BFE3113"/>
    <w:rsid w:val="7C3572E6"/>
    <w:rsid w:val="7CA4060A"/>
    <w:rsid w:val="7FF51669"/>
    <w:rsid w:val="8FFBAF0B"/>
    <w:rsid w:val="A9ECA3D0"/>
    <w:rsid w:val="FDFE661A"/>
    <w:rsid w:val="FE1B6837"/>
    <w:rsid w:val="FEFB73FD"/>
    <w:rsid w:val="FFBF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1"/>
      <w:szCs w:val="22"/>
      <w:lang w:val="en-US" w:eastAsia="zh-CN" w:bidi="ar-SA"/>
    </w:rPr>
  </w:style>
  <w:style w:type="paragraph" w:styleId="3">
    <w:name w:val="heading 1"/>
    <w:next w:val="1"/>
    <w:link w:val="24"/>
    <w:qFormat/>
    <w:uiPriority w:val="9"/>
    <w:pPr>
      <w:keepNext/>
      <w:keepLines/>
      <w:spacing w:before="50" w:beforeLines="50" w:after="50" w:afterLines="50" w:line="360" w:lineRule="auto"/>
      <w:outlineLvl w:val="0"/>
    </w:pPr>
    <w:rPr>
      <w:rFonts w:ascii="等线" w:hAnsi="等线" w:eastAsia="宋体" w:cs="Times New Roman"/>
      <w:b/>
      <w:bCs/>
      <w:kern w:val="44"/>
      <w:sz w:val="36"/>
      <w:szCs w:val="44"/>
      <w:lang w:val="en-US" w:eastAsia="zh-CN" w:bidi="ar-SA"/>
    </w:rPr>
  </w:style>
  <w:style w:type="paragraph" w:styleId="4">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paragraph" w:styleId="5">
    <w:name w:val="heading 3"/>
    <w:next w:val="1"/>
    <w:link w:val="26"/>
    <w:qFormat/>
    <w:uiPriority w:val="9"/>
    <w:pPr>
      <w:keepNext/>
      <w:keepLines/>
      <w:spacing w:before="50" w:beforeLines="50" w:after="50" w:afterLines="50" w:line="360" w:lineRule="auto"/>
      <w:outlineLvl w:val="2"/>
    </w:pPr>
    <w:rPr>
      <w:rFonts w:ascii="等线" w:hAnsi="等线" w:eastAsia="宋体" w:cs="Times New Roman"/>
      <w:b/>
      <w:bCs/>
      <w:kern w:val="2"/>
      <w:sz w:val="28"/>
      <w:szCs w:val="32"/>
      <w:lang w:val="en-US" w:eastAsia="zh-CN" w:bidi="ar-SA"/>
    </w:rPr>
  </w:style>
  <w:style w:type="paragraph" w:styleId="6">
    <w:name w:val="heading 4"/>
    <w:basedOn w:val="1"/>
    <w:next w:val="1"/>
    <w:link w:val="27"/>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beforeLines="50" w:afterLines="50" w:line="120" w:lineRule="auto"/>
      <w:ind w:firstLine="840" w:firstLineChars="400"/>
      <w:jc w:val="left"/>
    </w:pPr>
    <w:rPr>
      <w:rFonts w:hAnsi="宋体"/>
    </w:rPr>
  </w:style>
  <w:style w:type="paragraph" w:styleId="7">
    <w:name w:val="annotation text"/>
    <w:basedOn w:val="1"/>
    <w:link w:val="28"/>
    <w:unhideWhenUsed/>
    <w:qFormat/>
    <w:uiPriority w:val="99"/>
    <w:pPr>
      <w:jc w:val="left"/>
    </w:pPr>
  </w:style>
  <w:style w:type="paragraph" w:styleId="8">
    <w:name w:val="endnote text"/>
    <w:basedOn w:val="1"/>
    <w:link w:val="29"/>
    <w:unhideWhenUsed/>
    <w:qFormat/>
    <w:uiPriority w:val="99"/>
    <w:pPr>
      <w:snapToGrid w:val="0"/>
      <w:jc w:val="left"/>
    </w:pPr>
  </w:style>
  <w:style w:type="paragraph" w:styleId="9">
    <w:name w:val="Balloon Text"/>
    <w:basedOn w:val="1"/>
    <w:link w:val="30"/>
    <w:unhideWhenUsed/>
    <w:qFormat/>
    <w:uiPriority w:val="99"/>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unhideWhenUsed/>
    <w:qFormat/>
    <w:uiPriority w:val="99"/>
    <w:pPr>
      <w:spacing w:line="360" w:lineRule="auto"/>
      <w:ind w:firstLine="420" w:firstLineChars="200"/>
    </w:pPr>
  </w:style>
  <w:style w:type="paragraph" w:styleId="13">
    <w:name w:val="annotation subject"/>
    <w:basedOn w:val="7"/>
    <w:next w:val="7"/>
    <w:link w:val="33"/>
    <w:unhideWhenUsed/>
    <w:qFormat/>
    <w:uiPriority w:val="99"/>
    <w:rPr>
      <w:b/>
      <w:bCs/>
    </w:rPr>
  </w:style>
  <w:style w:type="character" w:styleId="16">
    <w:name w:val="endnote reference"/>
    <w:unhideWhenUsed/>
    <w:qFormat/>
    <w:uiPriority w:val="99"/>
    <w:rPr>
      <w:vertAlign w:val="superscript"/>
    </w:rPr>
  </w:style>
  <w:style w:type="character" w:styleId="17">
    <w:name w:val="annotation reference"/>
    <w:unhideWhenUsed/>
    <w:qFormat/>
    <w:uiPriority w:val="99"/>
    <w:rPr>
      <w:sz w:val="21"/>
      <w:szCs w:val="21"/>
    </w:rPr>
  </w:style>
  <w:style w:type="paragraph" w:customStyle="1" w:styleId="18">
    <w:name w:val="_Style 3"/>
    <w:next w:val="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表格字体"/>
    <w:basedOn w:val="1"/>
    <w:link w:val="34"/>
    <w:qFormat/>
    <w:uiPriority w:val="0"/>
    <w:pPr>
      <w:adjustRightInd w:val="0"/>
      <w:snapToGrid w:val="0"/>
      <w:spacing w:before="40" w:after="40"/>
    </w:pPr>
    <w:rPr>
      <w:rFonts w:hAnsi="宋体" w:eastAsia="等线"/>
      <w:sz w:val="24"/>
      <w:szCs w:val="24"/>
    </w:rPr>
  </w:style>
  <w:style w:type="paragraph" w:customStyle="1" w:styleId="20">
    <w:name w:val="_Style 18"/>
    <w:unhideWhenUsed/>
    <w:qFormat/>
    <w:uiPriority w:val="99"/>
    <w:rPr>
      <w:rFonts w:ascii="宋体" w:hAnsi="Calibri" w:eastAsia="宋体" w:cs="Times New Roman"/>
      <w:kern w:val="2"/>
      <w:sz w:val="21"/>
      <w:szCs w:val="22"/>
      <w:lang w:val="en-US" w:eastAsia="zh-CN" w:bidi="ar-SA"/>
    </w:rPr>
  </w:style>
  <w:style w:type="paragraph" w:customStyle="1" w:styleId="21">
    <w:name w:val="列表段落1"/>
    <w:basedOn w:val="1"/>
    <w:qFormat/>
    <w:uiPriority w:val="99"/>
    <w:pPr>
      <w:ind w:firstLine="420" w:firstLineChars="200"/>
    </w:pPr>
  </w:style>
  <w:style w:type="paragraph" w:customStyle="1" w:styleId="22">
    <w:name w:val="列表段落2"/>
    <w:basedOn w:val="1"/>
    <w:qFormat/>
    <w:uiPriority w:val="34"/>
    <w:pPr>
      <w:ind w:firstLine="420" w:firstLineChars="200"/>
    </w:pPr>
    <w:rPr>
      <w:rFonts w:ascii="Calibri"/>
    </w:rPr>
  </w:style>
  <w:style w:type="paragraph" w:customStyle="1" w:styleId="23">
    <w:name w:val="Table Paragraph"/>
    <w:basedOn w:val="1"/>
    <w:qFormat/>
    <w:uiPriority w:val="99"/>
    <w:pPr>
      <w:autoSpaceDE w:val="0"/>
      <w:autoSpaceDN w:val="0"/>
      <w:adjustRightInd w:val="0"/>
      <w:jc w:val="left"/>
    </w:pPr>
    <w:rPr>
      <w:rFonts w:hAnsi="宋体" w:cs="宋体"/>
      <w:kern w:val="0"/>
      <w:sz w:val="24"/>
      <w:szCs w:val="24"/>
    </w:rPr>
  </w:style>
  <w:style w:type="character" w:customStyle="1" w:styleId="24">
    <w:name w:val="标题 1 字符"/>
    <w:link w:val="3"/>
    <w:qFormat/>
    <w:uiPriority w:val="9"/>
    <w:rPr>
      <w:rFonts w:ascii="等线" w:hAnsi="等线"/>
      <w:b/>
      <w:bCs/>
      <w:kern w:val="44"/>
      <w:sz w:val="36"/>
      <w:szCs w:val="44"/>
    </w:rPr>
  </w:style>
  <w:style w:type="character" w:customStyle="1" w:styleId="25">
    <w:name w:val="标题 2 字符"/>
    <w:link w:val="4"/>
    <w:qFormat/>
    <w:uiPriority w:val="9"/>
    <w:rPr>
      <w:rFonts w:ascii="Cambria" w:hAnsi="Cambria" w:eastAsia="宋体" w:cs="Times New Roman"/>
      <w:b/>
      <w:bCs/>
      <w:kern w:val="2"/>
      <w:sz w:val="32"/>
      <w:szCs w:val="32"/>
    </w:rPr>
  </w:style>
  <w:style w:type="character" w:customStyle="1" w:styleId="26">
    <w:name w:val="标题 3 字符"/>
    <w:link w:val="5"/>
    <w:qFormat/>
    <w:uiPriority w:val="9"/>
    <w:rPr>
      <w:rFonts w:ascii="等线" w:hAnsi="等线"/>
      <w:b/>
      <w:bCs/>
      <w:kern w:val="2"/>
      <w:sz w:val="28"/>
      <w:szCs w:val="32"/>
    </w:rPr>
  </w:style>
  <w:style w:type="character" w:customStyle="1" w:styleId="27">
    <w:name w:val="标题 4 字符"/>
    <w:link w:val="6"/>
    <w:qFormat/>
    <w:uiPriority w:val="9"/>
    <w:rPr>
      <w:rFonts w:ascii="Cambria" w:hAnsi="Cambria" w:eastAsia="宋体" w:cs="Times New Roman"/>
      <w:b/>
      <w:bCs/>
      <w:kern w:val="2"/>
      <w:sz w:val="28"/>
      <w:szCs w:val="28"/>
    </w:rPr>
  </w:style>
  <w:style w:type="character" w:customStyle="1" w:styleId="28">
    <w:name w:val="批注文字 字符"/>
    <w:link w:val="7"/>
    <w:semiHidden/>
    <w:qFormat/>
    <w:uiPriority w:val="99"/>
    <w:rPr>
      <w:kern w:val="2"/>
      <w:sz w:val="21"/>
      <w:szCs w:val="22"/>
    </w:rPr>
  </w:style>
  <w:style w:type="character" w:customStyle="1" w:styleId="29">
    <w:name w:val="尾注文本 字符"/>
    <w:link w:val="8"/>
    <w:semiHidden/>
    <w:qFormat/>
    <w:uiPriority w:val="99"/>
    <w:rPr>
      <w:kern w:val="2"/>
      <w:sz w:val="21"/>
      <w:szCs w:val="22"/>
    </w:rPr>
  </w:style>
  <w:style w:type="character" w:customStyle="1" w:styleId="30">
    <w:name w:val="批注框文本 字符"/>
    <w:link w:val="9"/>
    <w:semiHidden/>
    <w:qFormat/>
    <w:uiPriority w:val="99"/>
    <w:rPr>
      <w:kern w:val="2"/>
      <w:sz w:val="18"/>
      <w:szCs w:val="18"/>
    </w:rPr>
  </w:style>
  <w:style w:type="character" w:customStyle="1" w:styleId="31">
    <w:name w:val="页脚 字符"/>
    <w:link w:val="10"/>
    <w:qFormat/>
    <w:uiPriority w:val="99"/>
    <w:rPr>
      <w:kern w:val="2"/>
      <w:sz w:val="18"/>
      <w:szCs w:val="18"/>
    </w:rPr>
  </w:style>
  <w:style w:type="character" w:customStyle="1" w:styleId="32">
    <w:name w:val="页眉 字符"/>
    <w:link w:val="11"/>
    <w:qFormat/>
    <w:uiPriority w:val="99"/>
    <w:rPr>
      <w:kern w:val="2"/>
      <w:sz w:val="18"/>
      <w:szCs w:val="18"/>
    </w:rPr>
  </w:style>
  <w:style w:type="character" w:customStyle="1" w:styleId="33">
    <w:name w:val="批注主题 字符"/>
    <w:link w:val="13"/>
    <w:semiHidden/>
    <w:qFormat/>
    <w:uiPriority w:val="99"/>
    <w:rPr>
      <w:b/>
      <w:bCs/>
      <w:kern w:val="2"/>
      <w:sz w:val="21"/>
      <w:szCs w:val="22"/>
    </w:rPr>
  </w:style>
  <w:style w:type="character" w:customStyle="1" w:styleId="34">
    <w:name w:val="表格字体 Char"/>
    <w:link w:val="19"/>
    <w:qFormat/>
    <w:uiPriority w:val="0"/>
    <w:rPr>
      <w:rFonts w:ascii="宋体" w:hAnsi="宋体" w:eastAsia="等线"/>
      <w:kern w:val="2"/>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876</Words>
  <Characters>4998</Characters>
  <Lines>41</Lines>
  <Paragraphs>11</Paragraphs>
  <TotalTime>0</TotalTime>
  <ScaleCrop>false</ScaleCrop>
  <LinksUpToDate>false</LinksUpToDate>
  <CharactersWithSpaces>5863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2019-08-28T16:50:00Z</dcterms:created>
  <dc:creator>Sing</dc:creator>
  <cp:lastModifiedBy>胡静</cp:lastModifiedBy>
  <cp:lastPrinted>2022-09-25T14:59:00Z</cp:lastPrinted>
  <dcterms:modified xsi:type="dcterms:W3CDTF">2022-10-13T14:29:30Z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428AC22CBE874C368731AE9980CF8A54</vt:lpwstr>
  </property>
</Properties>
</file>