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p>
    <w:p>
      <w:pPr>
        <w:spacing w:line="560" w:lineRule="exact"/>
        <w:jc w:val="center"/>
        <w:rPr>
          <w:rFonts w:hAnsi="宋体"/>
          <w:b/>
          <w:color w:val="auto"/>
          <w:kern w:val="0"/>
          <w:sz w:val="44"/>
          <w:szCs w:val="48"/>
          <w:highlight w:val="none"/>
        </w:rPr>
      </w:pPr>
    </w:p>
    <w:p>
      <w:pPr>
        <w:spacing w:line="560" w:lineRule="exact"/>
        <w:jc w:val="center"/>
        <w:rPr>
          <w:rFonts w:hint="eastAsia" w:ascii="方正小标宋简体" w:eastAsia="方正小标宋简体"/>
          <w:sz w:val="44"/>
          <w:szCs w:val="44"/>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深圳市国资委智慧国资经济运行应用主题建设项目</w:t>
      </w:r>
      <w:r>
        <w:rPr>
          <w:rFonts w:hint="eastAsia" w:ascii="方正小标宋简体" w:eastAsia="方正小标宋简体"/>
          <w:sz w:val="44"/>
          <w:szCs w:val="44"/>
        </w:rPr>
        <w:t>采购需求</w:t>
      </w:r>
    </w:p>
    <w:p>
      <w:pPr>
        <w:spacing w:line="560" w:lineRule="exact"/>
        <w:jc w:val="both"/>
        <w:rPr>
          <w:rFonts w:ascii="方正小标宋简体" w:hAnsi="方正小标宋简体" w:eastAsia="方正小标宋简体" w:cs="方正小标宋简体"/>
          <w:bCs/>
          <w:color w:val="auto"/>
          <w:kern w:val="0"/>
          <w:sz w:val="40"/>
          <w:szCs w:val="44"/>
          <w:highlight w:val="none"/>
        </w:rPr>
      </w:pPr>
    </w:p>
    <w:p>
      <w:pPr>
        <w:pStyle w:val="3"/>
        <w:spacing w:before="156" w:after="156"/>
        <w:ind w:firstLine="640" w:firstLineChars="200"/>
        <w:rPr>
          <w:rFonts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一、项目概况</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根据《深圳市推进政府治理“一网统管”三年行动计划》和市“一网统管”工作专项小组办公室《关于加快推进“一网统管”建设工作的通知》（以下简称《通知》）的要求（详见关联文件），今年</w:t>
      </w:r>
      <w:r>
        <w:rPr>
          <w:rFonts w:hint="eastAsia" w:hAnsi="宋体"/>
          <w:color w:val="auto"/>
          <w:kern w:val="0"/>
          <w:sz w:val="24"/>
          <w:szCs w:val="20"/>
          <w:highlight w:val="none"/>
          <w:lang w:eastAsia="zh-CN"/>
        </w:rPr>
        <w:t>市国资委</w:t>
      </w:r>
      <w:r>
        <w:rPr>
          <w:rFonts w:hint="eastAsia" w:hAnsi="宋体"/>
          <w:color w:val="auto"/>
          <w:kern w:val="0"/>
          <w:sz w:val="24"/>
          <w:szCs w:val="20"/>
          <w:highlight w:val="none"/>
        </w:rPr>
        <w:t>需完成“智慧国资经济运行”应用</w:t>
      </w:r>
      <w:r>
        <w:rPr>
          <w:rFonts w:hint="eastAsia" w:hAnsi="宋体"/>
          <w:color w:val="auto"/>
          <w:kern w:val="0"/>
          <w:sz w:val="24"/>
          <w:szCs w:val="20"/>
          <w:highlight w:val="none"/>
          <w:lang w:val="en-US" w:eastAsia="zh-CN"/>
        </w:rPr>
        <w:t>主题</w:t>
      </w:r>
      <w:r>
        <w:rPr>
          <w:rFonts w:hint="eastAsia" w:hAnsi="宋体"/>
          <w:color w:val="auto"/>
          <w:kern w:val="0"/>
          <w:sz w:val="24"/>
          <w:szCs w:val="20"/>
          <w:highlight w:val="none"/>
        </w:rPr>
        <w:t>建设，并接入“深治慧”平台</w:t>
      </w:r>
      <w:r>
        <w:rPr>
          <w:rFonts w:hint="eastAsia" w:hAnsi="宋体"/>
          <w:color w:val="auto"/>
          <w:kern w:val="0"/>
          <w:sz w:val="24"/>
          <w:szCs w:val="20"/>
          <w:highlight w:val="none"/>
          <w:lang w:eastAsia="zh-CN"/>
        </w:rPr>
        <w:t>，为市</w:t>
      </w:r>
      <w:r>
        <w:rPr>
          <w:rFonts w:hint="eastAsia" w:hAnsi="宋体"/>
          <w:color w:val="auto"/>
          <w:kern w:val="0"/>
          <w:sz w:val="24"/>
          <w:szCs w:val="20"/>
          <w:highlight w:val="none"/>
          <w:lang w:val="en-US" w:eastAsia="zh-CN"/>
        </w:rPr>
        <w:t>政府、市</w:t>
      </w:r>
      <w:r>
        <w:rPr>
          <w:rFonts w:hint="eastAsia" w:hAnsi="宋体"/>
          <w:color w:val="auto"/>
          <w:kern w:val="0"/>
          <w:sz w:val="24"/>
          <w:szCs w:val="20"/>
          <w:highlight w:val="none"/>
          <w:lang w:eastAsia="zh-CN"/>
        </w:rPr>
        <w:t>领导和各部门提供城市运行态势监测、辅助决策分析</w:t>
      </w:r>
      <w:r>
        <w:rPr>
          <w:rFonts w:hint="eastAsia" w:hAnsi="宋体"/>
          <w:color w:val="auto"/>
          <w:kern w:val="0"/>
          <w:sz w:val="24"/>
          <w:szCs w:val="20"/>
          <w:highlight w:val="none"/>
        </w:rPr>
        <w:t>。现拟以公开招标方式选定1家服务商，为</w:t>
      </w:r>
      <w:r>
        <w:rPr>
          <w:rFonts w:hint="eastAsia" w:hAnsi="宋体"/>
          <w:color w:val="auto"/>
          <w:kern w:val="0"/>
          <w:sz w:val="24"/>
          <w:szCs w:val="20"/>
          <w:highlight w:val="none"/>
          <w:lang w:eastAsia="zh-CN"/>
        </w:rPr>
        <w:t>市国资委</w:t>
      </w:r>
      <w:r>
        <w:rPr>
          <w:rFonts w:hint="eastAsia" w:hAnsi="宋体"/>
          <w:color w:val="auto"/>
          <w:kern w:val="0"/>
          <w:sz w:val="24"/>
          <w:szCs w:val="20"/>
          <w:highlight w:val="none"/>
        </w:rPr>
        <w:t>提供对</w:t>
      </w:r>
      <w:r>
        <w:rPr>
          <w:rFonts w:hint="eastAsia" w:hAnsi="宋体"/>
          <w:color w:val="auto"/>
          <w:kern w:val="0"/>
          <w:sz w:val="24"/>
          <w:szCs w:val="20"/>
          <w:highlight w:val="none"/>
          <w:lang w:val="en-US" w:eastAsia="zh-CN"/>
        </w:rPr>
        <w:t>智慧国资经济运行应用的</w:t>
      </w:r>
      <w:r>
        <w:rPr>
          <w:rFonts w:hint="eastAsia" w:hAnsi="宋体"/>
          <w:color w:val="auto"/>
          <w:kern w:val="0"/>
          <w:sz w:val="24"/>
          <w:szCs w:val="20"/>
          <w:highlight w:val="none"/>
        </w:rPr>
        <w:t>建设服务。</w:t>
      </w:r>
    </w:p>
    <w:p>
      <w:pPr>
        <w:pStyle w:val="3"/>
        <w:spacing w:before="156" w:after="156"/>
        <w:ind w:firstLine="640" w:firstLineChars="200"/>
        <w:rPr>
          <w:rFonts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二、服务内容和要求</w:t>
      </w:r>
    </w:p>
    <w:p>
      <w:pPr>
        <w:spacing w:line="560" w:lineRule="exact"/>
        <w:ind w:firstLine="643" w:firstLineChars="200"/>
        <w:rPr>
          <w:rFonts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rPr>
        <w:t>（一）服务内容</w:t>
      </w:r>
    </w:p>
    <w:p>
      <w:pPr>
        <w:widowControl/>
        <w:spacing w:before="120" w:after="120" w:line="360" w:lineRule="auto"/>
        <w:ind w:firstLine="480" w:firstLineChars="200"/>
        <w:rPr>
          <w:rFonts w:hint="eastAsia" w:hAnsi="宋体"/>
          <w:color w:val="auto"/>
          <w:kern w:val="0"/>
          <w:sz w:val="24"/>
          <w:szCs w:val="20"/>
          <w:highlight w:val="none"/>
        </w:rPr>
      </w:pPr>
      <w:r>
        <w:rPr>
          <w:rFonts w:hint="eastAsia" w:hAnsi="宋体"/>
          <w:color w:val="auto"/>
          <w:kern w:val="0"/>
          <w:sz w:val="24"/>
          <w:szCs w:val="20"/>
          <w:highlight w:val="none"/>
          <w:lang w:val="en-US" w:eastAsia="zh-CN"/>
        </w:rPr>
        <w:t>1、</w:t>
      </w:r>
      <w:r>
        <w:rPr>
          <w:rFonts w:hint="eastAsia" w:hAnsi="宋体"/>
          <w:color w:val="auto"/>
          <w:kern w:val="0"/>
          <w:sz w:val="24"/>
          <w:szCs w:val="20"/>
          <w:highlight w:val="none"/>
        </w:rPr>
        <w:t>完成“智慧国资经济运行”</w:t>
      </w:r>
      <w:r>
        <w:rPr>
          <w:rFonts w:hint="eastAsia" w:hAnsi="宋体"/>
          <w:color w:val="auto"/>
          <w:kern w:val="0"/>
          <w:sz w:val="24"/>
          <w:szCs w:val="20"/>
          <w:highlight w:val="none"/>
          <w:lang w:val="en-US" w:eastAsia="zh-CN"/>
        </w:rPr>
        <w:t>应用主题建设</w:t>
      </w:r>
      <w:r>
        <w:rPr>
          <w:rFonts w:hint="eastAsia" w:hAnsi="宋体"/>
          <w:color w:val="auto"/>
          <w:kern w:val="0"/>
          <w:sz w:val="24"/>
          <w:szCs w:val="20"/>
          <w:highlight w:val="none"/>
        </w:rPr>
        <w:t>并接入“深治慧”平台，共同打造运行和指挥中枢，达到“一图全面感知、一键可知全局、一体运行联动”的建设目标。本次建设的重点以年度为单位，本年度重点建设</w:t>
      </w:r>
      <w:r>
        <w:rPr>
          <w:rFonts w:hint="eastAsia" w:hAnsi="宋体"/>
          <w:color w:val="auto"/>
          <w:kern w:val="0"/>
          <w:sz w:val="24"/>
          <w:szCs w:val="20"/>
          <w:highlight w:val="none"/>
          <w:lang w:val="en-US" w:eastAsia="zh-CN"/>
        </w:rPr>
        <w:t>智慧国资</w:t>
      </w:r>
      <w:r>
        <w:rPr>
          <w:rFonts w:hint="eastAsia" w:hAnsi="宋体"/>
          <w:color w:val="auto"/>
          <w:kern w:val="0"/>
          <w:sz w:val="24"/>
          <w:szCs w:val="20"/>
          <w:highlight w:val="none"/>
        </w:rPr>
        <w:t>经济运行</w:t>
      </w:r>
      <w:r>
        <w:rPr>
          <w:rFonts w:hint="eastAsia" w:hAnsi="宋体"/>
          <w:color w:val="auto"/>
          <w:kern w:val="0"/>
          <w:sz w:val="24"/>
          <w:szCs w:val="20"/>
          <w:highlight w:val="none"/>
          <w:lang w:val="en-US" w:eastAsia="zh-CN"/>
        </w:rPr>
        <w:t>应用</w:t>
      </w:r>
      <w:r>
        <w:rPr>
          <w:rFonts w:hint="eastAsia" w:hAnsi="宋体"/>
          <w:color w:val="auto"/>
          <w:kern w:val="0"/>
          <w:sz w:val="24"/>
          <w:szCs w:val="20"/>
          <w:highlight w:val="none"/>
        </w:rPr>
        <w:t>，具体建设内容将根据实际调研情况，抽取必要数据进行规划设计、系统开发和接入展示。本系统需通过安全扫描测试以及达到等保二级评测。</w:t>
      </w:r>
    </w:p>
    <w:p>
      <w:pPr>
        <w:widowControl/>
        <w:spacing w:before="120" w:after="120" w:line="360" w:lineRule="auto"/>
        <w:ind w:firstLine="480" w:firstLineChars="200"/>
        <w:rPr>
          <w:rFonts w:hint="default" w:hAnsi="宋体"/>
          <w:color w:val="auto"/>
          <w:kern w:val="0"/>
          <w:sz w:val="24"/>
          <w:szCs w:val="20"/>
          <w:highlight w:val="none"/>
          <w:lang w:val="en-US" w:eastAsia="zh-CN"/>
        </w:rPr>
      </w:pPr>
      <w:r>
        <w:rPr>
          <w:rFonts w:hint="eastAsia" w:hAnsi="宋体"/>
          <w:color w:val="auto"/>
          <w:kern w:val="0"/>
          <w:sz w:val="24"/>
          <w:szCs w:val="20"/>
          <w:highlight w:val="none"/>
          <w:lang w:val="en-US" w:eastAsia="zh-CN"/>
        </w:rPr>
        <w:t>2、</w:t>
      </w:r>
      <w:r>
        <w:rPr>
          <w:rFonts w:hint="default" w:hAnsi="宋体"/>
          <w:color w:val="auto"/>
          <w:kern w:val="0"/>
          <w:sz w:val="24"/>
          <w:szCs w:val="20"/>
          <w:highlight w:val="none"/>
          <w:lang w:val="en-US" w:eastAsia="zh-CN"/>
        </w:rPr>
        <w:t>参考《深圳市政府治理“一网统管”深治慧平台业务设计规范》和《深圳市政府治理“一网统管”深治慧平台系统接入规范》，建设”智慧国资经济运行”，</w:t>
      </w:r>
      <w:r>
        <w:rPr>
          <w:rFonts w:hint="eastAsia" w:hAnsi="宋体"/>
          <w:color w:val="auto"/>
          <w:kern w:val="0"/>
          <w:sz w:val="24"/>
          <w:szCs w:val="20"/>
          <w:highlight w:val="none"/>
          <w:lang w:val="en-US" w:eastAsia="zh-CN"/>
        </w:rPr>
        <w:t>根据建设内容展开调研规划，梳理国资经济运行监管指标，设计经济运行数据表结构，抽取必要数据进行系统原型规划设计、系统开发和接入展示。</w:t>
      </w:r>
      <w:r>
        <w:rPr>
          <w:rFonts w:hint="default" w:hAnsi="宋体"/>
          <w:color w:val="auto"/>
          <w:kern w:val="0"/>
          <w:sz w:val="24"/>
          <w:szCs w:val="20"/>
          <w:highlight w:val="none"/>
          <w:lang w:val="en-US" w:eastAsia="zh-CN"/>
        </w:rPr>
        <w:t>具体内容</w:t>
      </w:r>
      <w:r>
        <w:rPr>
          <w:rFonts w:hint="eastAsia" w:hAnsi="宋体"/>
          <w:color w:val="auto"/>
          <w:kern w:val="0"/>
          <w:sz w:val="24"/>
          <w:szCs w:val="20"/>
          <w:highlight w:val="none"/>
          <w:lang w:val="en-US" w:eastAsia="zh-CN"/>
        </w:rPr>
        <w:t>模块</w:t>
      </w:r>
      <w:r>
        <w:rPr>
          <w:rFonts w:hint="default" w:hAnsi="宋体"/>
          <w:color w:val="auto"/>
          <w:kern w:val="0"/>
          <w:sz w:val="24"/>
          <w:szCs w:val="20"/>
          <w:highlight w:val="none"/>
          <w:lang w:val="en-US" w:eastAsia="zh-CN"/>
        </w:rPr>
        <w:t>如下：</w:t>
      </w:r>
    </w:p>
    <w:p>
      <w:pPr>
        <w:widowControl/>
        <w:spacing w:before="120" w:after="120" w:line="360" w:lineRule="auto"/>
        <w:ind w:firstLine="480" w:firstLineChars="200"/>
        <w:rPr>
          <w:rFonts w:hint="default" w:hAnsi="宋体"/>
          <w:color w:val="auto"/>
          <w:kern w:val="0"/>
          <w:sz w:val="24"/>
          <w:szCs w:val="20"/>
          <w:highlight w:val="none"/>
          <w:lang w:val="en-US" w:eastAsia="zh-CN"/>
        </w:rPr>
      </w:pPr>
      <w:r>
        <w:rPr>
          <w:rFonts w:hint="eastAsia" w:hAnsi="宋体"/>
          <w:color w:val="auto"/>
          <w:kern w:val="0"/>
          <w:sz w:val="24"/>
          <w:szCs w:val="20"/>
          <w:highlight w:val="none"/>
          <w:lang w:val="en-US" w:eastAsia="zh-CN"/>
        </w:rPr>
        <w:t>1）</w:t>
      </w:r>
      <w:r>
        <w:rPr>
          <w:rFonts w:hint="default" w:hAnsi="宋体"/>
          <w:color w:val="auto"/>
          <w:kern w:val="0"/>
          <w:sz w:val="24"/>
          <w:szCs w:val="20"/>
          <w:highlight w:val="none"/>
          <w:lang w:val="en-US" w:eastAsia="zh-CN"/>
        </w:rPr>
        <w:t>规划预算：概览、业绩规划与预算、投资预算、薪酬预算、预算执行</w:t>
      </w:r>
      <w:r>
        <w:rPr>
          <w:rFonts w:hint="eastAsia" w:hAnsi="宋体"/>
          <w:color w:val="auto"/>
          <w:kern w:val="0"/>
          <w:sz w:val="24"/>
          <w:szCs w:val="20"/>
          <w:highlight w:val="none"/>
          <w:lang w:val="en-US" w:eastAsia="zh-CN"/>
        </w:rPr>
        <w:t>；</w:t>
      </w:r>
    </w:p>
    <w:p>
      <w:pPr>
        <w:widowControl/>
        <w:spacing w:before="120" w:after="120" w:line="360" w:lineRule="auto"/>
        <w:ind w:firstLine="480" w:firstLineChars="200"/>
        <w:rPr>
          <w:rFonts w:hint="default" w:hAnsi="宋体"/>
          <w:color w:val="auto"/>
          <w:kern w:val="0"/>
          <w:sz w:val="24"/>
          <w:szCs w:val="20"/>
          <w:highlight w:val="none"/>
          <w:lang w:val="en-US" w:eastAsia="zh-CN"/>
        </w:rPr>
      </w:pPr>
      <w:r>
        <w:rPr>
          <w:rFonts w:hint="eastAsia" w:hAnsi="宋体"/>
          <w:color w:val="auto"/>
          <w:kern w:val="0"/>
          <w:sz w:val="24"/>
          <w:szCs w:val="20"/>
          <w:highlight w:val="none"/>
          <w:lang w:val="en-US" w:eastAsia="zh-CN"/>
        </w:rPr>
        <w:t>2）</w:t>
      </w:r>
      <w:r>
        <w:rPr>
          <w:rFonts w:hint="default" w:hAnsi="宋体"/>
          <w:color w:val="auto"/>
          <w:kern w:val="0"/>
          <w:sz w:val="24"/>
          <w:szCs w:val="20"/>
          <w:highlight w:val="none"/>
          <w:lang w:val="en-US" w:eastAsia="zh-CN"/>
        </w:rPr>
        <w:t>经济运行：概览、经营指标、业务量指标、社会贡献、风险预警</w:t>
      </w:r>
      <w:r>
        <w:rPr>
          <w:rFonts w:hint="eastAsia" w:hAnsi="宋体"/>
          <w:color w:val="auto"/>
          <w:kern w:val="0"/>
          <w:sz w:val="24"/>
          <w:szCs w:val="20"/>
          <w:highlight w:val="none"/>
          <w:lang w:val="en-US" w:eastAsia="zh-CN"/>
        </w:rPr>
        <w:t>；</w:t>
      </w:r>
    </w:p>
    <w:p>
      <w:pPr>
        <w:widowControl/>
        <w:spacing w:before="120" w:after="120" w:line="360" w:lineRule="auto"/>
        <w:ind w:firstLine="480" w:firstLineChars="200"/>
        <w:rPr>
          <w:rFonts w:hint="default" w:hAnsi="宋体"/>
          <w:color w:val="auto"/>
          <w:kern w:val="0"/>
          <w:sz w:val="24"/>
          <w:szCs w:val="20"/>
          <w:highlight w:val="none"/>
          <w:lang w:val="en-US" w:eastAsia="zh-CN"/>
        </w:rPr>
      </w:pPr>
      <w:r>
        <w:rPr>
          <w:rFonts w:hint="eastAsia" w:hAnsi="宋体"/>
          <w:color w:val="auto"/>
          <w:kern w:val="0"/>
          <w:sz w:val="24"/>
          <w:szCs w:val="20"/>
          <w:highlight w:val="none"/>
          <w:lang w:val="en-US" w:eastAsia="zh-CN"/>
        </w:rPr>
        <w:t>3）</w:t>
      </w:r>
      <w:r>
        <w:rPr>
          <w:rFonts w:hint="default" w:hAnsi="宋体"/>
          <w:color w:val="auto"/>
          <w:kern w:val="0"/>
          <w:sz w:val="24"/>
          <w:szCs w:val="20"/>
          <w:highlight w:val="none"/>
          <w:lang w:val="en-US" w:eastAsia="zh-CN"/>
        </w:rPr>
        <w:t>资金债务：概览、资金情况、债务情况、风险预警</w:t>
      </w:r>
      <w:r>
        <w:rPr>
          <w:rFonts w:hint="eastAsia" w:hAnsi="宋体"/>
          <w:color w:val="auto"/>
          <w:kern w:val="0"/>
          <w:sz w:val="24"/>
          <w:szCs w:val="20"/>
          <w:highlight w:val="none"/>
          <w:lang w:val="en-US" w:eastAsia="zh-CN"/>
        </w:rPr>
        <w:t>；</w:t>
      </w:r>
    </w:p>
    <w:p>
      <w:pPr>
        <w:widowControl/>
        <w:spacing w:before="120" w:after="120" w:line="360" w:lineRule="auto"/>
        <w:ind w:firstLine="480" w:firstLineChars="200"/>
        <w:rPr>
          <w:rFonts w:hint="default" w:hAnsi="宋体"/>
          <w:color w:val="auto"/>
          <w:kern w:val="0"/>
          <w:sz w:val="24"/>
          <w:szCs w:val="20"/>
          <w:highlight w:val="none"/>
          <w:lang w:val="en-US" w:eastAsia="zh-CN"/>
        </w:rPr>
      </w:pPr>
      <w:r>
        <w:rPr>
          <w:rFonts w:hint="eastAsia" w:hAnsi="宋体"/>
          <w:color w:val="auto"/>
          <w:kern w:val="0"/>
          <w:sz w:val="24"/>
          <w:szCs w:val="20"/>
          <w:highlight w:val="none"/>
          <w:lang w:val="en-US" w:eastAsia="zh-CN"/>
        </w:rPr>
        <w:t>4）</w:t>
      </w:r>
      <w:r>
        <w:rPr>
          <w:rFonts w:hint="default" w:hAnsi="宋体"/>
          <w:color w:val="auto"/>
          <w:kern w:val="0"/>
          <w:sz w:val="24"/>
          <w:szCs w:val="20"/>
          <w:highlight w:val="none"/>
          <w:lang w:val="en-US" w:eastAsia="zh-CN"/>
        </w:rPr>
        <w:t>决算报告：概览、结构分析、绩效考核、国资预算。</w:t>
      </w:r>
    </w:p>
    <w:p>
      <w:pPr>
        <w:widowControl/>
        <w:spacing w:before="120" w:after="120" w:line="360" w:lineRule="auto"/>
        <w:ind w:firstLine="480" w:firstLineChars="200"/>
        <w:rPr>
          <w:rFonts w:hint="eastAsia" w:hAnsi="宋体"/>
          <w:color w:val="auto"/>
          <w:kern w:val="0"/>
          <w:sz w:val="24"/>
          <w:szCs w:val="20"/>
          <w:highlight w:val="none"/>
          <w:lang w:val="en-US" w:eastAsia="zh-CN"/>
        </w:rPr>
      </w:pPr>
      <w:r>
        <w:rPr>
          <w:rFonts w:hint="eastAsia" w:hAnsi="宋体"/>
          <w:color w:val="auto"/>
          <w:kern w:val="0"/>
          <w:sz w:val="24"/>
          <w:szCs w:val="20"/>
          <w:highlight w:val="none"/>
          <w:lang w:val="en-US" w:eastAsia="zh-CN"/>
        </w:rPr>
        <w:t>3、为本项目设计的智慧国资经济运行项目以及相关资料等，全部知识产权归市国资委所有。本项目使用的服务商已有知识产权产品，产权归服务商所有，但市国资委拥有免费使用权。</w:t>
      </w:r>
    </w:p>
    <w:p>
      <w:pPr>
        <w:widowControl/>
        <w:spacing w:before="120" w:after="120" w:line="360" w:lineRule="auto"/>
        <w:ind w:firstLine="480" w:firstLineChars="200"/>
        <w:rPr>
          <w:rFonts w:hint="eastAsia" w:hAnsi="宋体"/>
          <w:color w:val="auto"/>
          <w:kern w:val="0"/>
          <w:sz w:val="24"/>
          <w:szCs w:val="20"/>
          <w:highlight w:val="none"/>
          <w:lang w:val="en-US" w:eastAsia="zh-CN"/>
        </w:rPr>
      </w:pPr>
      <w:r>
        <w:rPr>
          <w:rFonts w:hint="eastAsia" w:hAnsi="宋体"/>
          <w:color w:val="auto"/>
          <w:kern w:val="0"/>
          <w:sz w:val="24"/>
          <w:szCs w:val="20"/>
          <w:highlight w:val="none"/>
          <w:lang w:val="en-US" w:eastAsia="zh-CN"/>
        </w:rPr>
        <w:t>4、售后服务要求，若市国资委在智慧国资经济运行项目使用过程中有相关问题，服务商须在2小时内及时反馈、完善。</w:t>
      </w:r>
    </w:p>
    <w:p>
      <w:pPr>
        <w:spacing w:line="560" w:lineRule="exact"/>
        <w:ind w:firstLine="645"/>
        <w:rPr>
          <w:rFonts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rPr>
        <w:t>（二）服务要求</w:t>
      </w:r>
    </w:p>
    <w:p>
      <w:pPr>
        <w:widowControl/>
        <w:spacing w:before="120" w:after="120" w:line="360" w:lineRule="auto"/>
        <w:ind w:firstLine="480" w:firstLineChars="200"/>
        <w:rPr>
          <w:rFonts w:hint="eastAsia" w:hAnsi="宋体"/>
          <w:color w:val="auto"/>
          <w:kern w:val="0"/>
          <w:sz w:val="24"/>
          <w:szCs w:val="20"/>
          <w:highlight w:val="none"/>
          <w:lang w:eastAsia="zh-CN"/>
        </w:rPr>
      </w:pPr>
      <w:r>
        <w:rPr>
          <w:rFonts w:hint="eastAsia" w:hAnsi="宋体"/>
          <w:color w:val="auto"/>
          <w:kern w:val="0"/>
          <w:sz w:val="24"/>
          <w:szCs w:val="20"/>
          <w:highlight w:val="none"/>
        </w:rPr>
        <w:t>1、</w:t>
      </w:r>
      <w:r>
        <w:rPr>
          <w:rFonts w:hint="eastAsia" w:hAnsi="宋体"/>
          <w:color w:val="auto"/>
          <w:kern w:val="0"/>
          <w:sz w:val="24"/>
          <w:szCs w:val="20"/>
          <w:highlight w:val="none"/>
          <w:lang w:eastAsia="zh-CN"/>
        </w:rPr>
        <w:t>在中华人民共和国国内注册的具有合法经营资格的法人或是具有独立承担民事责任能力的其它组织（提供营业执照或事业单位法人证书等证明资料扫描件，原件备查）</w:t>
      </w:r>
    </w:p>
    <w:p>
      <w:pPr>
        <w:widowControl/>
        <w:spacing w:before="120" w:after="120" w:line="360" w:lineRule="auto"/>
        <w:ind w:firstLine="480" w:firstLineChars="200"/>
        <w:rPr>
          <w:rFonts w:hint="eastAsia" w:hAnsi="宋体"/>
          <w:color w:val="auto"/>
          <w:kern w:val="0"/>
          <w:sz w:val="24"/>
          <w:szCs w:val="20"/>
          <w:highlight w:val="none"/>
          <w:lang w:eastAsia="zh-CN"/>
        </w:rPr>
      </w:pPr>
      <w:r>
        <w:rPr>
          <w:rFonts w:hint="eastAsia" w:hAnsi="宋体"/>
          <w:color w:val="auto"/>
          <w:kern w:val="0"/>
          <w:sz w:val="24"/>
          <w:szCs w:val="20"/>
          <w:highlight w:val="none"/>
          <w:lang w:val="en-US" w:eastAsia="zh-CN"/>
        </w:rPr>
        <w:t>2、</w:t>
      </w:r>
      <w:r>
        <w:rPr>
          <w:rFonts w:hint="eastAsia" w:hAnsi="宋体"/>
          <w:color w:val="auto"/>
          <w:kern w:val="0"/>
          <w:sz w:val="24"/>
          <w:szCs w:val="20"/>
          <w:highlight w:val="none"/>
          <w:lang w:eastAsia="zh-CN"/>
        </w:rPr>
        <w:t>本项目不接受联合体投标，不接受投标人选用进口产品参与投标；</w:t>
      </w:r>
    </w:p>
    <w:p>
      <w:pPr>
        <w:widowControl/>
        <w:spacing w:before="120" w:after="120" w:line="360" w:lineRule="auto"/>
        <w:ind w:firstLine="480" w:firstLineChars="200"/>
        <w:rPr>
          <w:rFonts w:hint="eastAsia" w:hAnsi="宋体"/>
          <w:color w:val="auto"/>
          <w:kern w:val="0"/>
          <w:sz w:val="24"/>
          <w:szCs w:val="20"/>
          <w:highlight w:val="none"/>
          <w:lang w:eastAsia="zh-CN"/>
        </w:rPr>
      </w:pPr>
      <w:r>
        <w:rPr>
          <w:rFonts w:hint="eastAsia" w:hAnsi="宋体"/>
          <w:color w:val="auto"/>
          <w:kern w:val="0"/>
          <w:sz w:val="24"/>
          <w:szCs w:val="20"/>
          <w:highlight w:val="none"/>
          <w:lang w:eastAsia="zh-CN"/>
        </w:rPr>
        <w:t>3、有过服务政府单位或国有企业的相关案例及服务成果；</w:t>
      </w:r>
    </w:p>
    <w:p>
      <w:pPr>
        <w:widowControl/>
        <w:spacing w:before="120" w:after="120" w:line="360" w:lineRule="auto"/>
        <w:ind w:firstLine="480" w:firstLineChars="200"/>
        <w:rPr>
          <w:rFonts w:hint="eastAsia" w:hAnsi="宋体"/>
          <w:color w:val="auto"/>
          <w:kern w:val="0"/>
          <w:sz w:val="24"/>
          <w:szCs w:val="20"/>
          <w:highlight w:val="none"/>
          <w:lang w:eastAsia="zh-CN"/>
        </w:rPr>
      </w:pPr>
      <w:r>
        <w:rPr>
          <w:rFonts w:hint="eastAsia" w:hAnsi="宋体"/>
          <w:color w:val="auto"/>
          <w:kern w:val="0"/>
          <w:sz w:val="24"/>
          <w:szCs w:val="20"/>
          <w:highlight w:val="none"/>
          <w:lang w:eastAsia="zh-CN"/>
        </w:rPr>
        <w:t>4、参与本项目投标前三年内，在经营活动中没有重大违法记录（由供应商在《政府采购投标及履约承诺函》中作出声明）；</w:t>
      </w:r>
    </w:p>
    <w:p>
      <w:pPr>
        <w:widowControl/>
        <w:spacing w:before="120" w:after="120" w:line="360" w:lineRule="auto"/>
        <w:ind w:firstLine="480" w:firstLineChars="200"/>
        <w:rPr>
          <w:rFonts w:hint="eastAsia" w:hAnsi="宋体"/>
          <w:color w:val="auto"/>
          <w:kern w:val="0"/>
          <w:sz w:val="24"/>
          <w:szCs w:val="20"/>
          <w:highlight w:val="none"/>
          <w:lang w:eastAsia="zh-CN"/>
        </w:rPr>
      </w:pPr>
      <w:r>
        <w:rPr>
          <w:rFonts w:hint="eastAsia" w:hAnsi="宋体"/>
          <w:color w:val="auto"/>
          <w:kern w:val="0"/>
          <w:sz w:val="24"/>
          <w:szCs w:val="20"/>
          <w:highlight w:val="none"/>
          <w:lang w:eastAsia="zh-CN"/>
        </w:rPr>
        <w:t>5、参与本项目政府采购活动时不存在被有关部门禁止参与政府采购活动且在有效期内的情况（由供应商在《政府采购投标及履约承诺函》中作出声明）；</w:t>
      </w:r>
    </w:p>
    <w:p>
      <w:pPr>
        <w:widowControl/>
        <w:spacing w:before="120" w:after="120" w:line="360" w:lineRule="auto"/>
        <w:ind w:firstLine="480" w:firstLineChars="200"/>
        <w:rPr>
          <w:rFonts w:hint="eastAsia" w:hAnsi="宋体"/>
          <w:color w:val="auto"/>
          <w:kern w:val="0"/>
          <w:sz w:val="24"/>
          <w:szCs w:val="20"/>
          <w:highlight w:val="none"/>
          <w:lang w:eastAsia="zh-CN"/>
        </w:rPr>
      </w:pPr>
      <w:r>
        <w:rPr>
          <w:rFonts w:hint="eastAsia" w:hAnsi="宋体"/>
          <w:color w:val="auto"/>
          <w:kern w:val="0"/>
          <w:sz w:val="24"/>
          <w:szCs w:val="20"/>
          <w:highlight w:val="none"/>
          <w:lang w:eastAsia="zh-CN"/>
        </w:rPr>
        <w:t>6、非深圳企业参与本采购项目，服务商必须在深圳设有经工商注册的分支机构，提供相关证明材料（加盖服务商公章）；</w:t>
      </w:r>
    </w:p>
    <w:p>
      <w:pPr>
        <w:widowControl/>
        <w:spacing w:before="120" w:after="120" w:line="360" w:lineRule="auto"/>
        <w:ind w:firstLine="480" w:firstLineChars="200"/>
        <w:rPr>
          <w:rFonts w:hint="eastAsia" w:hAnsi="宋体"/>
          <w:color w:val="auto"/>
          <w:kern w:val="0"/>
          <w:sz w:val="24"/>
          <w:szCs w:val="20"/>
          <w:highlight w:val="none"/>
          <w:lang w:eastAsia="zh-CN"/>
        </w:rPr>
      </w:pPr>
      <w:r>
        <w:rPr>
          <w:rFonts w:hint="eastAsia" w:hAnsi="宋体"/>
          <w:color w:val="auto"/>
          <w:kern w:val="0"/>
          <w:sz w:val="24"/>
          <w:szCs w:val="20"/>
          <w:highlight w:val="none"/>
          <w:lang w:eastAsia="zh-CN"/>
        </w:rPr>
        <w:t>7、未被列入失信被执行人、重大税收违法案件当事人名单、政府采购严重违法失信行为记录名单（由供应商在《政府采购投标及履约承诺函》中作出声明）；</w:t>
      </w:r>
    </w:p>
    <w:p>
      <w:pPr>
        <w:widowControl/>
        <w:spacing w:before="120" w:after="120" w:line="360" w:lineRule="auto"/>
        <w:ind w:firstLine="480" w:firstLineChars="200"/>
        <w:rPr>
          <w:rFonts w:hint="eastAsia" w:hAnsi="宋体"/>
          <w:color w:val="auto"/>
          <w:kern w:val="0"/>
          <w:sz w:val="24"/>
          <w:szCs w:val="20"/>
          <w:highlight w:val="none"/>
          <w:lang w:eastAsia="zh-CN"/>
        </w:rPr>
      </w:pPr>
      <w:r>
        <w:rPr>
          <w:rFonts w:hint="eastAsia" w:hAnsi="宋体"/>
          <w:color w:val="auto"/>
          <w:kern w:val="0"/>
          <w:sz w:val="24"/>
          <w:szCs w:val="20"/>
          <w:highlight w:val="none"/>
          <w:lang w:eastAsia="zh-CN"/>
        </w:rPr>
        <w:t>8、具有合同履行能力且愿意承担本采购项目的全部投资及相关费用。</w:t>
      </w:r>
    </w:p>
    <w:p>
      <w:pPr>
        <w:pStyle w:val="3"/>
        <w:spacing w:before="156" w:after="156"/>
        <w:ind w:firstLine="640" w:firstLineChars="200"/>
        <w:rPr>
          <w:rFonts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三、评标定标方法</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如通过资格审查的供应商</w:t>
      </w:r>
      <w:r>
        <w:rPr>
          <w:rFonts w:hAnsi="宋体"/>
          <w:color w:val="auto"/>
          <w:kern w:val="0"/>
          <w:sz w:val="24"/>
          <w:szCs w:val="20"/>
          <w:highlight w:val="none"/>
        </w:rPr>
        <w:t>不</w:t>
      </w:r>
      <w:r>
        <w:rPr>
          <w:rFonts w:hint="eastAsia" w:hAnsi="宋体"/>
          <w:color w:val="auto"/>
          <w:kern w:val="0"/>
          <w:sz w:val="24"/>
          <w:szCs w:val="20"/>
          <w:highlight w:val="none"/>
        </w:rPr>
        <w:t>少于3</w:t>
      </w:r>
      <w:r>
        <w:rPr>
          <w:rFonts w:hAnsi="宋体"/>
          <w:color w:val="auto"/>
          <w:kern w:val="0"/>
          <w:sz w:val="24"/>
          <w:szCs w:val="20"/>
          <w:highlight w:val="none"/>
        </w:rPr>
        <w:t>家</w:t>
      </w:r>
      <w:r>
        <w:rPr>
          <w:rFonts w:hint="eastAsia" w:hAnsi="宋体"/>
          <w:color w:val="auto"/>
          <w:kern w:val="0"/>
          <w:sz w:val="24"/>
          <w:szCs w:val="20"/>
          <w:highlight w:val="none"/>
        </w:rPr>
        <w:t>，市国资委将根据响应情况对各供应商进行评审（具体标准详见《深圳市国资委</w:t>
      </w:r>
      <w:r>
        <w:rPr>
          <w:rFonts w:hint="eastAsia" w:hAnsi="宋体"/>
          <w:color w:val="auto"/>
          <w:kern w:val="0"/>
          <w:sz w:val="24"/>
          <w:szCs w:val="20"/>
          <w:highlight w:val="none"/>
          <w:lang w:eastAsia="zh-CN"/>
        </w:rPr>
        <w:t>智慧国资经济运行应用主题建设项目</w:t>
      </w:r>
      <w:r>
        <w:rPr>
          <w:rFonts w:hint="eastAsia" w:hAnsi="宋体"/>
          <w:color w:val="auto"/>
          <w:kern w:val="0"/>
          <w:sz w:val="24"/>
          <w:szCs w:val="20"/>
          <w:highlight w:val="none"/>
        </w:rPr>
        <w:t>评审表》）后，采用综合评标法确定成交供应商。其中：</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（一）评级档次中，得分高的供应商为候选中标供应商；</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（二）如评级档次得分相同，则报价低的为候选中标供应商。</w:t>
      </w:r>
    </w:p>
    <w:p>
      <w:pPr>
        <w:widowControl/>
        <w:spacing w:before="120" w:after="120" w:line="360" w:lineRule="auto"/>
        <w:rPr>
          <w:rFonts w:hint="eastAsia" w:hAnsi="宋体"/>
          <w:b/>
          <w:color w:val="auto"/>
          <w:kern w:val="0"/>
          <w:sz w:val="24"/>
          <w:szCs w:val="20"/>
          <w:highlight w:val="none"/>
        </w:rPr>
      </w:pPr>
      <w:r>
        <w:rPr>
          <w:rFonts w:hint="eastAsia" w:hAnsi="宋体"/>
          <w:b/>
          <w:color w:val="auto"/>
          <w:kern w:val="0"/>
          <w:sz w:val="24"/>
          <w:szCs w:val="20"/>
          <w:highlight w:val="none"/>
        </w:rPr>
        <w:t>评标信息：</w:t>
      </w:r>
    </w:p>
    <w:tbl>
      <w:tblPr>
        <w:tblStyle w:val="18"/>
        <w:tblW w:w="87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765"/>
        <w:gridCol w:w="1559"/>
        <w:gridCol w:w="567"/>
        <w:gridCol w:w="1134"/>
        <w:gridCol w:w="4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52" w:type="dxa"/>
            <w:vAlign w:val="center"/>
          </w:tcPr>
          <w:p>
            <w:pPr>
              <w:spacing w:line="380" w:lineRule="exact"/>
              <w:rPr>
                <w:rFonts w:hAnsi="宋体" w:cs="宋体"/>
                <w:b/>
                <w:color w:val="auto"/>
                <w:szCs w:val="21"/>
                <w:highlight w:val="none"/>
              </w:rPr>
            </w:pPr>
            <w:r>
              <w:rPr>
                <w:rFonts w:hint="eastAsia" w:hAnsi="宋体" w:cs="宋体"/>
                <w:b/>
                <w:color w:val="auto"/>
                <w:szCs w:val="21"/>
                <w:highlight w:val="none"/>
              </w:rPr>
              <w:t>序号</w:t>
            </w:r>
          </w:p>
        </w:tc>
        <w:tc>
          <w:tcPr>
            <w:tcW w:w="4025" w:type="dxa"/>
            <w:gridSpan w:val="4"/>
            <w:vAlign w:val="center"/>
          </w:tcPr>
          <w:p>
            <w:pPr>
              <w:spacing w:line="380" w:lineRule="exact"/>
              <w:jc w:val="center"/>
              <w:rPr>
                <w:rFonts w:hAnsi="宋体" w:cs="宋体"/>
                <w:b/>
                <w:color w:val="auto"/>
                <w:szCs w:val="21"/>
                <w:highlight w:val="none"/>
              </w:rPr>
            </w:pPr>
            <w:r>
              <w:rPr>
                <w:rFonts w:hint="eastAsia" w:hAnsi="宋体" w:cs="宋体"/>
                <w:b/>
                <w:color w:val="auto"/>
                <w:szCs w:val="21"/>
                <w:highlight w:val="none"/>
              </w:rPr>
              <w:t>评分项</w:t>
            </w:r>
          </w:p>
        </w:tc>
        <w:tc>
          <w:tcPr>
            <w:tcW w:w="4010" w:type="dxa"/>
            <w:vAlign w:val="center"/>
          </w:tcPr>
          <w:p>
            <w:pPr>
              <w:spacing w:line="380" w:lineRule="exact"/>
              <w:jc w:val="center"/>
              <w:rPr>
                <w:rFonts w:hAnsi="宋体" w:cs="宋体"/>
                <w:b/>
                <w:color w:val="auto"/>
                <w:szCs w:val="21"/>
                <w:highlight w:val="none"/>
              </w:rPr>
            </w:pPr>
            <w:r>
              <w:rPr>
                <w:rFonts w:hint="eastAsia" w:hAnsi="宋体" w:cs="宋体"/>
                <w:b/>
                <w:color w:val="auto"/>
                <w:szCs w:val="21"/>
                <w:highlight w:val="none"/>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52" w:type="dxa"/>
            <w:vAlign w:val="center"/>
          </w:tcPr>
          <w:p>
            <w:pPr>
              <w:spacing w:line="380" w:lineRule="exact"/>
              <w:jc w:val="center"/>
              <w:rPr>
                <w:rFonts w:hAnsi="宋体" w:cs="宋体"/>
                <w:b/>
                <w:color w:val="auto"/>
                <w:szCs w:val="21"/>
                <w:highlight w:val="none"/>
              </w:rPr>
            </w:pPr>
            <w:r>
              <w:rPr>
                <w:rFonts w:hint="eastAsia" w:hAnsi="宋体" w:cs="宋体"/>
                <w:b/>
                <w:color w:val="auto"/>
                <w:szCs w:val="21"/>
                <w:highlight w:val="none"/>
              </w:rPr>
              <w:t>1</w:t>
            </w:r>
          </w:p>
        </w:tc>
        <w:tc>
          <w:tcPr>
            <w:tcW w:w="4025" w:type="dxa"/>
            <w:gridSpan w:val="4"/>
            <w:vAlign w:val="center"/>
          </w:tcPr>
          <w:p>
            <w:pPr>
              <w:spacing w:line="380" w:lineRule="exact"/>
              <w:jc w:val="center"/>
              <w:rPr>
                <w:rFonts w:hAnsi="宋体" w:cs="宋体"/>
                <w:b/>
                <w:color w:val="auto"/>
                <w:szCs w:val="21"/>
                <w:highlight w:val="none"/>
              </w:rPr>
            </w:pPr>
            <w:r>
              <w:rPr>
                <w:rFonts w:hint="eastAsia" w:hAnsi="宋体" w:cs="宋体"/>
                <w:b/>
                <w:color w:val="auto"/>
                <w:szCs w:val="21"/>
                <w:highlight w:val="none"/>
              </w:rPr>
              <w:t>价格</w:t>
            </w:r>
          </w:p>
        </w:tc>
        <w:tc>
          <w:tcPr>
            <w:tcW w:w="4010" w:type="dxa"/>
            <w:vAlign w:val="center"/>
          </w:tcPr>
          <w:p>
            <w:pPr>
              <w:spacing w:line="380" w:lineRule="exact"/>
              <w:jc w:val="center"/>
              <w:rPr>
                <w:rFonts w:hAnsi="宋体" w:cs="宋体"/>
                <w:b/>
                <w:color w:val="auto"/>
                <w:szCs w:val="21"/>
                <w:highlight w:val="none"/>
              </w:rPr>
            </w:pPr>
            <w:r>
              <w:rPr>
                <w:rFonts w:hint="eastAsia" w:hAnsi="宋体" w:cs="宋体"/>
                <w:b/>
                <w:color w:val="auto"/>
                <w:szCs w:val="21"/>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52" w:type="dxa"/>
            <w:vAlign w:val="center"/>
          </w:tcPr>
          <w:p>
            <w:pPr>
              <w:spacing w:line="380" w:lineRule="exact"/>
              <w:jc w:val="center"/>
              <w:rPr>
                <w:rFonts w:hAnsi="宋体" w:cs="宋体"/>
                <w:b/>
                <w:color w:val="auto"/>
                <w:szCs w:val="21"/>
                <w:highlight w:val="none"/>
              </w:rPr>
            </w:pPr>
            <w:r>
              <w:rPr>
                <w:rFonts w:hint="eastAsia" w:hAnsi="宋体" w:cs="宋体"/>
                <w:b/>
                <w:color w:val="auto"/>
                <w:szCs w:val="21"/>
                <w:highlight w:val="none"/>
              </w:rPr>
              <w:t>2</w:t>
            </w:r>
          </w:p>
        </w:tc>
        <w:tc>
          <w:tcPr>
            <w:tcW w:w="4025" w:type="dxa"/>
            <w:gridSpan w:val="4"/>
            <w:vAlign w:val="center"/>
          </w:tcPr>
          <w:p>
            <w:pPr>
              <w:spacing w:line="380" w:lineRule="exact"/>
              <w:jc w:val="center"/>
              <w:rPr>
                <w:rFonts w:hAnsi="宋体" w:cs="宋体"/>
                <w:b/>
                <w:color w:val="auto"/>
                <w:szCs w:val="21"/>
                <w:highlight w:val="none"/>
              </w:rPr>
            </w:pPr>
            <w:r>
              <w:rPr>
                <w:rFonts w:hint="eastAsia" w:hAnsi="宋体" w:cs="宋体"/>
                <w:b/>
                <w:color w:val="auto"/>
                <w:szCs w:val="21"/>
                <w:highlight w:val="none"/>
              </w:rPr>
              <w:t>技术部分</w:t>
            </w:r>
          </w:p>
        </w:tc>
        <w:tc>
          <w:tcPr>
            <w:tcW w:w="4010" w:type="dxa"/>
            <w:vAlign w:val="center"/>
          </w:tcPr>
          <w:p>
            <w:pPr>
              <w:spacing w:line="380" w:lineRule="exact"/>
              <w:jc w:val="center"/>
              <w:rPr>
                <w:rFonts w:hAnsi="宋体" w:cs="宋体"/>
                <w:b/>
                <w:color w:val="auto"/>
                <w:szCs w:val="21"/>
                <w:highlight w:val="none"/>
              </w:rPr>
            </w:pPr>
            <w:r>
              <w:rPr>
                <w:rFonts w:hint="eastAsia" w:hAnsi="宋体" w:cs="宋体"/>
                <w:b/>
                <w:color w:val="auto"/>
                <w:szCs w:val="21"/>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52" w:type="dxa"/>
            <w:vMerge w:val="restart"/>
            <w:vAlign w:val="center"/>
          </w:tcPr>
          <w:p>
            <w:pPr>
              <w:spacing w:line="380" w:lineRule="exact"/>
              <w:rPr>
                <w:rFonts w:hAnsi="宋体" w:cs="宋体"/>
                <w:color w:val="auto"/>
                <w:szCs w:val="21"/>
                <w:highlight w:val="none"/>
              </w:rPr>
            </w:pPr>
          </w:p>
        </w:tc>
        <w:tc>
          <w:tcPr>
            <w:tcW w:w="765" w:type="dxa"/>
            <w:vAlign w:val="center"/>
          </w:tcPr>
          <w:p>
            <w:pPr>
              <w:spacing w:line="380" w:lineRule="exact"/>
              <w:jc w:val="center"/>
              <w:rPr>
                <w:rFonts w:hAnsi="宋体" w:cs="宋体"/>
                <w:b/>
                <w:color w:val="auto"/>
                <w:szCs w:val="21"/>
                <w:highlight w:val="none"/>
              </w:rPr>
            </w:pPr>
            <w:r>
              <w:rPr>
                <w:rFonts w:hint="eastAsia" w:hAnsi="宋体" w:cs="宋体"/>
                <w:b/>
                <w:color w:val="auto"/>
                <w:szCs w:val="21"/>
                <w:highlight w:val="none"/>
              </w:rPr>
              <w:t>序号</w:t>
            </w:r>
          </w:p>
        </w:tc>
        <w:tc>
          <w:tcPr>
            <w:tcW w:w="1559" w:type="dxa"/>
            <w:vAlign w:val="center"/>
          </w:tcPr>
          <w:p>
            <w:pPr>
              <w:spacing w:line="380" w:lineRule="exact"/>
              <w:jc w:val="center"/>
              <w:rPr>
                <w:rFonts w:hAnsi="宋体" w:cs="宋体"/>
                <w:b/>
                <w:color w:val="auto"/>
                <w:szCs w:val="21"/>
                <w:highlight w:val="none"/>
              </w:rPr>
            </w:pPr>
            <w:r>
              <w:rPr>
                <w:rFonts w:hint="eastAsia" w:hAnsi="宋体" w:cs="宋体"/>
                <w:b/>
                <w:color w:val="auto"/>
                <w:szCs w:val="21"/>
                <w:highlight w:val="none"/>
              </w:rPr>
              <w:t>评分因素</w:t>
            </w:r>
          </w:p>
        </w:tc>
        <w:tc>
          <w:tcPr>
            <w:tcW w:w="567" w:type="dxa"/>
            <w:vAlign w:val="center"/>
          </w:tcPr>
          <w:p>
            <w:pPr>
              <w:spacing w:line="380" w:lineRule="exact"/>
              <w:jc w:val="center"/>
              <w:rPr>
                <w:rFonts w:hAnsi="宋体" w:cs="宋体"/>
                <w:b/>
                <w:color w:val="auto"/>
                <w:szCs w:val="21"/>
                <w:highlight w:val="none"/>
              </w:rPr>
            </w:pPr>
            <w:r>
              <w:rPr>
                <w:rFonts w:hint="eastAsia" w:hAnsi="宋体" w:cs="宋体"/>
                <w:b/>
                <w:color w:val="auto"/>
                <w:szCs w:val="21"/>
                <w:highlight w:val="none"/>
              </w:rPr>
              <w:t>权重</w:t>
            </w:r>
          </w:p>
        </w:tc>
        <w:tc>
          <w:tcPr>
            <w:tcW w:w="1134" w:type="dxa"/>
            <w:vAlign w:val="center"/>
          </w:tcPr>
          <w:p>
            <w:pPr>
              <w:spacing w:line="380" w:lineRule="exact"/>
              <w:jc w:val="center"/>
              <w:rPr>
                <w:rFonts w:hAnsi="宋体" w:cs="宋体"/>
                <w:b/>
                <w:color w:val="auto"/>
                <w:szCs w:val="21"/>
                <w:highlight w:val="none"/>
              </w:rPr>
            </w:pPr>
            <w:r>
              <w:rPr>
                <w:rFonts w:hint="eastAsia" w:hAnsi="宋体" w:cs="宋体"/>
                <w:b/>
                <w:color w:val="auto"/>
                <w:szCs w:val="21"/>
                <w:highlight w:val="none"/>
              </w:rPr>
              <w:t>评分方式</w:t>
            </w:r>
          </w:p>
        </w:tc>
        <w:tc>
          <w:tcPr>
            <w:tcW w:w="4010" w:type="dxa"/>
            <w:vAlign w:val="center"/>
          </w:tcPr>
          <w:p>
            <w:pPr>
              <w:spacing w:line="380" w:lineRule="exact"/>
              <w:jc w:val="center"/>
              <w:rPr>
                <w:rFonts w:hAnsi="宋体" w:cs="宋体"/>
                <w:b/>
                <w:color w:val="auto"/>
                <w:szCs w:val="21"/>
                <w:highlight w:val="none"/>
              </w:rPr>
            </w:pPr>
            <w:r>
              <w:rPr>
                <w:rFonts w:hint="eastAsia" w:hAnsi="宋体" w:cs="宋体"/>
                <w:b/>
                <w:color w:val="auto"/>
                <w:szCs w:val="21"/>
                <w:highlight w:val="none"/>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52" w:type="dxa"/>
            <w:vMerge w:val="continue"/>
            <w:vAlign w:val="center"/>
          </w:tcPr>
          <w:p>
            <w:pPr>
              <w:spacing w:line="380" w:lineRule="exact"/>
              <w:rPr>
                <w:rFonts w:hAnsi="宋体" w:cs="宋体"/>
                <w:color w:val="auto"/>
                <w:szCs w:val="21"/>
                <w:highlight w:val="none"/>
              </w:rPr>
            </w:pPr>
          </w:p>
        </w:tc>
        <w:tc>
          <w:tcPr>
            <w:tcW w:w="765" w:type="dxa"/>
            <w:vAlign w:val="center"/>
          </w:tcPr>
          <w:p>
            <w:pPr>
              <w:spacing w:line="340" w:lineRule="exact"/>
              <w:jc w:val="center"/>
              <w:rPr>
                <w:rFonts w:hAnsi="宋体" w:cs="宋体"/>
                <w:color w:val="auto"/>
                <w:szCs w:val="21"/>
                <w:highlight w:val="none"/>
              </w:rPr>
            </w:pPr>
            <w:r>
              <w:rPr>
                <w:rFonts w:hint="eastAsia" w:hAnsi="宋体" w:cs="宋体"/>
                <w:color w:val="auto"/>
                <w:szCs w:val="21"/>
                <w:highlight w:val="none"/>
              </w:rPr>
              <w:t>1</w:t>
            </w:r>
          </w:p>
        </w:tc>
        <w:tc>
          <w:tcPr>
            <w:tcW w:w="1559"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项目实施方案</w:t>
            </w:r>
          </w:p>
        </w:tc>
        <w:tc>
          <w:tcPr>
            <w:tcW w:w="567"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15</w:t>
            </w:r>
          </w:p>
        </w:tc>
        <w:tc>
          <w:tcPr>
            <w:tcW w:w="1134"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招标单位评分</w:t>
            </w:r>
          </w:p>
        </w:tc>
        <w:tc>
          <w:tcPr>
            <w:tcW w:w="4010" w:type="dxa"/>
          </w:tcPr>
          <w:p>
            <w:pPr>
              <w:spacing w:line="340" w:lineRule="exact"/>
              <w:rPr>
                <w:rFonts w:hAnsi="宋体" w:cs="宋体"/>
                <w:color w:val="auto"/>
                <w:szCs w:val="21"/>
                <w:highlight w:val="none"/>
              </w:rPr>
            </w:pPr>
            <w:r>
              <w:rPr>
                <w:rFonts w:hint="eastAsia" w:hAnsi="宋体" w:cs="宋体"/>
                <w:color w:val="auto"/>
                <w:szCs w:val="21"/>
                <w:highlight w:val="none"/>
              </w:rPr>
              <w:t>评审内容：</w:t>
            </w:r>
          </w:p>
          <w:p>
            <w:pPr>
              <w:spacing w:line="340" w:lineRule="exact"/>
              <w:rPr>
                <w:rFonts w:hAnsi="宋体" w:cs="宋体"/>
                <w:color w:val="auto"/>
                <w:szCs w:val="21"/>
                <w:highlight w:val="none"/>
              </w:rPr>
            </w:pPr>
            <w:r>
              <w:rPr>
                <w:rFonts w:hint="eastAsia" w:hAnsi="宋体" w:cs="宋体"/>
                <w:color w:val="auto"/>
                <w:szCs w:val="21"/>
                <w:highlight w:val="none"/>
              </w:rPr>
              <w:t xml:space="preserve">投标人服务方案编制的科学性、严谨性、全面性。目标理解准确，任务分解得当，工作安排合理得当，内容覆盖完整。 </w:t>
            </w:r>
          </w:p>
          <w:p>
            <w:pPr>
              <w:spacing w:line="340" w:lineRule="exact"/>
              <w:rPr>
                <w:rFonts w:hAnsi="宋体" w:cs="宋体"/>
                <w:color w:val="auto"/>
                <w:szCs w:val="21"/>
                <w:highlight w:val="none"/>
              </w:rPr>
            </w:pPr>
            <w:r>
              <w:rPr>
                <w:rFonts w:hint="eastAsia" w:hAnsi="宋体" w:cs="宋体"/>
                <w:color w:val="auto"/>
                <w:szCs w:val="21"/>
                <w:highlight w:val="none"/>
              </w:rPr>
              <w:t xml:space="preserve">评分标准： </w:t>
            </w:r>
          </w:p>
          <w:p>
            <w:pPr>
              <w:spacing w:line="340" w:lineRule="exact"/>
              <w:rPr>
                <w:rFonts w:hAnsi="宋体" w:cs="宋体"/>
                <w:color w:val="auto"/>
                <w:szCs w:val="21"/>
                <w:highlight w:val="none"/>
              </w:rPr>
            </w:pPr>
            <w:r>
              <w:rPr>
                <w:rFonts w:hint="eastAsia" w:hAnsi="宋体" w:cs="宋体"/>
                <w:color w:val="auto"/>
                <w:szCs w:val="21"/>
                <w:highlight w:val="none"/>
              </w:rPr>
              <w:t>1.项目总体思路清晰明确，方案合理可行，满足服务要求，针对性强，得 15分；</w:t>
            </w:r>
          </w:p>
          <w:p>
            <w:pPr>
              <w:spacing w:line="340" w:lineRule="exact"/>
              <w:rPr>
                <w:rFonts w:hAnsi="宋体" w:cs="宋体"/>
                <w:color w:val="auto"/>
                <w:szCs w:val="21"/>
                <w:highlight w:val="none"/>
              </w:rPr>
            </w:pPr>
            <w:r>
              <w:rPr>
                <w:rFonts w:hint="eastAsia" w:hAnsi="宋体" w:cs="宋体"/>
                <w:color w:val="auto"/>
                <w:szCs w:val="21"/>
                <w:highlight w:val="none"/>
              </w:rPr>
              <w:t xml:space="preserve">2.项目总体思路比较清晰，方案比较合理可行，可以满足服务要求，得12分； </w:t>
            </w:r>
          </w:p>
          <w:p>
            <w:pPr>
              <w:spacing w:line="340" w:lineRule="exact"/>
              <w:rPr>
                <w:rFonts w:hAnsi="宋体" w:cs="宋体"/>
                <w:color w:val="auto"/>
                <w:szCs w:val="21"/>
                <w:highlight w:val="none"/>
              </w:rPr>
            </w:pPr>
            <w:r>
              <w:rPr>
                <w:rFonts w:hint="eastAsia" w:hAnsi="宋体" w:cs="宋体"/>
                <w:color w:val="auto"/>
                <w:szCs w:val="21"/>
                <w:highlight w:val="none"/>
              </w:rPr>
              <w:t xml:space="preserve">3.项目总体思路基本清晰，方案基本合理可行，基本可以满足服务要求，得 </w:t>
            </w:r>
            <w:r>
              <w:rPr>
                <w:rFonts w:hint="default" w:hAnsi="宋体" w:cs="宋体"/>
                <w:color w:val="auto"/>
                <w:szCs w:val="21"/>
                <w:highlight w:val="none"/>
              </w:rPr>
              <w:t>9</w:t>
            </w:r>
            <w:r>
              <w:rPr>
                <w:rFonts w:hint="eastAsia" w:hAnsi="宋体" w:cs="宋体"/>
                <w:color w:val="auto"/>
                <w:szCs w:val="21"/>
                <w:highlight w:val="none"/>
              </w:rPr>
              <w:t xml:space="preserve">分； </w:t>
            </w:r>
          </w:p>
          <w:p>
            <w:pPr>
              <w:spacing w:line="340" w:lineRule="exact"/>
              <w:rPr>
                <w:rFonts w:hAnsi="宋体" w:cs="宋体"/>
                <w:color w:val="auto"/>
                <w:szCs w:val="21"/>
                <w:highlight w:val="none"/>
              </w:rPr>
            </w:pPr>
            <w:r>
              <w:rPr>
                <w:rFonts w:hint="eastAsia" w:hAnsi="宋体" w:cs="宋体"/>
                <w:color w:val="auto"/>
                <w:szCs w:val="21"/>
                <w:highlight w:val="none"/>
              </w:rPr>
              <w:t>4.项目总体思路不清晰，方案不完整，不能满足服务需要，不得分。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52" w:type="dxa"/>
            <w:vAlign w:val="center"/>
          </w:tcPr>
          <w:p>
            <w:pPr>
              <w:spacing w:line="380" w:lineRule="exact"/>
              <w:rPr>
                <w:rFonts w:hAnsi="宋体" w:cs="宋体"/>
                <w:color w:val="auto"/>
                <w:szCs w:val="21"/>
                <w:highlight w:val="none"/>
              </w:rPr>
            </w:pPr>
          </w:p>
        </w:tc>
        <w:tc>
          <w:tcPr>
            <w:tcW w:w="765" w:type="dxa"/>
            <w:vAlign w:val="center"/>
          </w:tcPr>
          <w:p>
            <w:pPr>
              <w:spacing w:line="340" w:lineRule="exact"/>
              <w:jc w:val="center"/>
              <w:rPr>
                <w:rFonts w:hAnsi="宋体" w:cs="宋体"/>
                <w:color w:val="auto"/>
                <w:szCs w:val="21"/>
                <w:highlight w:val="none"/>
              </w:rPr>
            </w:pPr>
            <w:r>
              <w:rPr>
                <w:rFonts w:hint="eastAsia" w:hAnsi="宋体" w:cs="宋体"/>
                <w:color w:val="auto"/>
                <w:szCs w:val="21"/>
                <w:highlight w:val="none"/>
              </w:rPr>
              <w:t>2</w:t>
            </w:r>
          </w:p>
        </w:tc>
        <w:tc>
          <w:tcPr>
            <w:tcW w:w="1559"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项目重点难点分析、应对措施及相关的合理化建议</w:t>
            </w:r>
          </w:p>
        </w:tc>
        <w:tc>
          <w:tcPr>
            <w:tcW w:w="567" w:type="dxa"/>
            <w:vAlign w:val="center"/>
          </w:tcPr>
          <w:p>
            <w:pPr>
              <w:spacing w:line="340" w:lineRule="exact"/>
              <w:rPr>
                <w:rFonts w:hint="default" w:hAnsi="宋体" w:cs="宋体"/>
                <w:color w:val="auto"/>
                <w:szCs w:val="21"/>
                <w:highlight w:val="none"/>
              </w:rPr>
            </w:pPr>
            <w:r>
              <w:rPr>
                <w:rFonts w:hint="eastAsia" w:hAnsi="宋体" w:cs="宋体"/>
                <w:color w:val="auto"/>
                <w:szCs w:val="21"/>
                <w:highlight w:val="none"/>
              </w:rPr>
              <w:t>1</w:t>
            </w:r>
            <w:r>
              <w:rPr>
                <w:rFonts w:hint="default" w:hAnsi="宋体" w:cs="宋体"/>
                <w:color w:val="auto"/>
                <w:szCs w:val="21"/>
                <w:highlight w:val="none"/>
              </w:rPr>
              <w:t>5</w:t>
            </w:r>
          </w:p>
        </w:tc>
        <w:tc>
          <w:tcPr>
            <w:tcW w:w="1134"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招标单位评分</w:t>
            </w:r>
          </w:p>
        </w:tc>
        <w:tc>
          <w:tcPr>
            <w:tcW w:w="4010"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 xml:space="preserve">评审内容： </w:t>
            </w:r>
          </w:p>
          <w:p>
            <w:pPr>
              <w:spacing w:line="340" w:lineRule="exact"/>
              <w:rPr>
                <w:rFonts w:hAnsi="宋体" w:cs="宋体"/>
                <w:color w:val="auto"/>
                <w:szCs w:val="21"/>
                <w:highlight w:val="none"/>
              </w:rPr>
            </w:pPr>
            <w:r>
              <w:rPr>
                <w:rFonts w:hint="eastAsia" w:hAnsi="宋体" w:cs="宋体"/>
                <w:color w:val="auto"/>
                <w:szCs w:val="21"/>
                <w:highlight w:val="none"/>
              </w:rPr>
              <w:t>考察投标方案对项目理解程度，如项目难点分析、应对措施等。</w:t>
            </w:r>
          </w:p>
          <w:p>
            <w:pPr>
              <w:spacing w:line="340" w:lineRule="exact"/>
              <w:rPr>
                <w:rFonts w:hAnsi="宋体" w:cs="宋体"/>
                <w:color w:val="auto"/>
                <w:szCs w:val="21"/>
                <w:highlight w:val="none"/>
              </w:rPr>
            </w:pPr>
            <w:r>
              <w:rPr>
                <w:rFonts w:hint="eastAsia" w:hAnsi="宋体" w:cs="宋体"/>
                <w:color w:val="auto"/>
                <w:szCs w:val="21"/>
                <w:highlight w:val="none"/>
              </w:rPr>
              <w:t>1、重点难点分析、应对措施内容全面、具体；</w:t>
            </w:r>
          </w:p>
          <w:p>
            <w:pPr>
              <w:spacing w:line="340" w:lineRule="exact"/>
              <w:rPr>
                <w:rFonts w:hAnsi="宋体" w:cs="宋体"/>
                <w:color w:val="auto"/>
                <w:szCs w:val="21"/>
                <w:highlight w:val="none"/>
              </w:rPr>
            </w:pPr>
            <w:r>
              <w:rPr>
                <w:rFonts w:hint="eastAsia" w:hAnsi="宋体" w:cs="宋体"/>
                <w:color w:val="auto"/>
                <w:szCs w:val="21"/>
                <w:highlight w:val="none"/>
              </w:rPr>
              <w:t>2、重点难点分析、应对措施内容针对性强；</w:t>
            </w:r>
          </w:p>
          <w:p>
            <w:pPr>
              <w:spacing w:line="340" w:lineRule="exact"/>
              <w:rPr>
                <w:rFonts w:hAnsi="宋体" w:cs="宋体"/>
                <w:color w:val="auto"/>
                <w:szCs w:val="21"/>
                <w:highlight w:val="none"/>
              </w:rPr>
            </w:pPr>
            <w:r>
              <w:rPr>
                <w:rFonts w:hint="eastAsia" w:hAnsi="宋体" w:cs="宋体"/>
                <w:color w:val="auto"/>
                <w:szCs w:val="21"/>
                <w:highlight w:val="none"/>
              </w:rPr>
              <w:t>3、重点难点分析、应对措施项目工具运用科学合理；</w:t>
            </w:r>
          </w:p>
          <w:p>
            <w:pPr>
              <w:spacing w:line="340" w:lineRule="exact"/>
              <w:rPr>
                <w:rFonts w:hAnsi="宋体" w:cs="宋体"/>
                <w:color w:val="auto"/>
                <w:szCs w:val="21"/>
                <w:highlight w:val="none"/>
              </w:rPr>
            </w:pPr>
            <w:r>
              <w:rPr>
                <w:rFonts w:hint="eastAsia" w:hAnsi="宋体" w:cs="宋体"/>
                <w:color w:val="auto"/>
                <w:szCs w:val="21"/>
                <w:highlight w:val="none"/>
              </w:rPr>
              <w:t xml:space="preserve">4、重点难点分析、应对措施重可操作性强；。 </w:t>
            </w:r>
          </w:p>
          <w:p>
            <w:pPr>
              <w:spacing w:line="340" w:lineRule="exact"/>
              <w:rPr>
                <w:rFonts w:hAnsi="宋体" w:cs="宋体"/>
                <w:color w:val="auto"/>
                <w:szCs w:val="21"/>
                <w:highlight w:val="none"/>
              </w:rPr>
            </w:pPr>
            <w:r>
              <w:rPr>
                <w:rFonts w:hint="eastAsia" w:hAnsi="宋体" w:cs="宋体"/>
                <w:color w:val="auto"/>
                <w:szCs w:val="21"/>
                <w:highlight w:val="none"/>
              </w:rPr>
              <w:t xml:space="preserve">评分标准： </w:t>
            </w:r>
          </w:p>
          <w:p>
            <w:pPr>
              <w:spacing w:line="340" w:lineRule="exact"/>
              <w:rPr>
                <w:rFonts w:hAnsi="宋体" w:cs="宋体"/>
                <w:color w:val="auto"/>
                <w:szCs w:val="21"/>
                <w:highlight w:val="none"/>
              </w:rPr>
            </w:pPr>
            <w:r>
              <w:rPr>
                <w:rFonts w:hint="eastAsia" w:hAnsi="宋体" w:cs="宋体"/>
                <w:color w:val="auto"/>
                <w:szCs w:val="21"/>
                <w:highlight w:val="none"/>
              </w:rPr>
              <w:t>满足以上四项要求评价为优，得1</w:t>
            </w:r>
            <w:r>
              <w:rPr>
                <w:rFonts w:hint="default" w:hAnsi="宋体" w:cs="宋体"/>
                <w:color w:val="auto"/>
                <w:szCs w:val="21"/>
                <w:highlight w:val="none"/>
              </w:rPr>
              <w:t>5</w:t>
            </w:r>
            <w:r>
              <w:rPr>
                <w:rFonts w:hint="eastAsia" w:hAnsi="宋体" w:cs="宋体"/>
                <w:color w:val="auto"/>
                <w:szCs w:val="21"/>
                <w:highlight w:val="none"/>
              </w:rPr>
              <w:t>分；</w:t>
            </w:r>
          </w:p>
          <w:p>
            <w:pPr>
              <w:spacing w:line="340" w:lineRule="exact"/>
              <w:rPr>
                <w:rFonts w:hAnsi="宋体" w:cs="宋体"/>
                <w:color w:val="auto"/>
                <w:szCs w:val="21"/>
                <w:highlight w:val="none"/>
              </w:rPr>
            </w:pPr>
            <w:r>
              <w:rPr>
                <w:rFonts w:hint="eastAsia" w:hAnsi="宋体" w:cs="宋体"/>
                <w:color w:val="auto"/>
                <w:szCs w:val="21"/>
                <w:highlight w:val="none"/>
              </w:rPr>
              <w:t>满足以上三项要求评价为良，得</w:t>
            </w:r>
            <w:r>
              <w:rPr>
                <w:rFonts w:hint="default" w:hAnsi="宋体" w:cs="宋体"/>
                <w:color w:val="auto"/>
                <w:szCs w:val="21"/>
                <w:highlight w:val="none"/>
              </w:rPr>
              <w:t>12</w:t>
            </w:r>
            <w:r>
              <w:rPr>
                <w:rFonts w:hint="eastAsia" w:hAnsi="宋体" w:cs="宋体"/>
                <w:color w:val="auto"/>
                <w:szCs w:val="21"/>
                <w:highlight w:val="none"/>
              </w:rPr>
              <w:t>分；</w:t>
            </w:r>
          </w:p>
          <w:p>
            <w:pPr>
              <w:spacing w:line="340" w:lineRule="exact"/>
              <w:rPr>
                <w:rFonts w:hAnsi="宋体" w:cs="宋体"/>
                <w:color w:val="auto"/>
                <w:szCs w:val="21"/>
                <w:highlight w:val="none"/>
              </w:rPr>
            </w:pPr>
            <w:r>
              <w:rPr>
                <w:rFonts w:hint="eastAsia" w:hAnsi="宋体" w:cs="宋体"/>
                <w:color w:val="auto"/>
                <w:szCs w:val="21"/>
                <w:highlight w:val="none"/>
              </w:rPr>
              <w:t>满足以上二项要求评价为中，得</w:t>
            </w:r>
            <w:r>
              <w:rPr>
                <w:rFonts w:hint="default" w:hAnsi="宋体" w:cs="宋体"/>
                <w:color w:val="auto"/>
                <w:szCs w:val="21"/>
                <w:highlight w:val="none"/>
              </w:rPr>
              <w:t>9</w:t>
            </w:r>
            <w:r>
              <w:rPr>
                <w:rFonts w:hint="eastAsia" w:hAnsi="宋体" w:cs="宋体"/>
                <w:color w:val="auto"/>
                <w:szCs w:val="21"/>
                <w:highlight w:val="none"/>
              </w:rPr>
              <w:t>分；</w:t>
            </w:r>
          </w:p>
          <w:p>
            <w:pPr>
              <w:spacing w:line="340" w:lineRule="exact"/>
              <w:rPr>
                <w:rFonts w:hAnsi="宋体" w:cs="宋体"/>
                <w:color w:val="auto"/>
                <w:szCs w:val="21"/>
                <w:highlight w:val="none"/>
              </w:rPr>
            </w:pPr>
            <w:r>
              <w:rPr>
                <w:rFonts w:hint="eastAsia" w:hAnsi="宋体" w:cs="宋体"/>
                <w:color w:val="auto"/>
                <w:szCs w:val="21"/>
                <w:highlight w:val="none"/>
              </w:rPr>
              <w:t xml:space="preserve">其它情况不得分。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52" w:type="dxa"/>
            <w:vAlign w:val="center"/>
          </w:tcPr>
          <w:p>
            <w:pPr>
              <w:spacing w:line="380" w:lineRule="exact"/>
              <w:rPr>
                <w:rFonts w:hAnsi="宋体" w:cs="宋体"/>
                <w:color w:val="auto"/>
                <w:szCs w:val="21"/>
                <w:highlight w:val="none"/>
              </w:rPr>
            </w:pPr>
          </w:p>
        </w:tc>
        <w:tc>
          <w:tcPr>
            <w:tcW w:w="765" w:type="dxa"/>
            <w:vAlign w:val="center"/>
          </w:tcPr>
          <w:p>
            <w:pPr>
              <w:spacing w:line="340" w:lineRule="exact"/>
              <w:jc w:val="center"/>
              <w:rPr>
                <w:rFonts w:hAnsi="宋体" w:cs="宋体"/>
                <w:color w:val="auto"/>
                <w:szCs w:val="21"/>
                <w:highlight w:val="none"/>
              </w:rPr>
            </w:pPr>
            <w:r>
              <w:rPr>
                <w:rFonts w:hint="eastAsia" w:hAnsi="宋体" w:cs="宋体"/>
                <w:color w:val="auto"/>
                <w:szCs w:val="21"/>
                <w:highlight w:val="none"/>
              </w:rPr>
              <w:t>3</w:t>
            </w:r>
          </w:p>
        </w:tc>
        <w:tc>
          <w:tcPr>
            <w:tcW w:w="1559"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质量（完成时间、安全、环保）保障措施及方案</w:t>
            </w:r>
          </w:p>
        </w:tc>
        <w:tc>
          <w:tcPr>
            <w:tcW w:w="567"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5</w:t>
            </w:r>
          </w:p>
        </w:tc>
        <w:tc>
          <w:tcPr>
            <w:tcW w:w="1134"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招标单位评分</w:t>
            </w:r>
          </w:p>
        </w:tc>
        <w:tc>
          <w:tcPr>
            <w:tcW w:w="4010"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 xml:space="preserve">评审内容： </w:t>
            </w:r>
          </w:p>
          <w:p>
            <w:pPr>
              <w:spacing w:line="340" w:lineRule="exact"/>
              <w:rPr>
                <w:rFonts w:hAnsi="宋体" w:cs="宋体"/>
                <w:color w:val="auto"/>
                <w:szCs w:val="21"/>
                <w:highlight w:val="none"/>
              </w:rPr>
            </w:pPr>
            <w:r>
              <w:rPr>
                <w:rFonts w:hint="eastAsia" w:hAnsi="宋体" w:cs="宋体"/>
                <w:color w:val="auto"/>
                <w:szCs w:val="21"/>
                <w:highlight w:val="none"/>
              </w:rPr>
              <w:t xml:space="preserve">根据招标文件的需求和投标文件响应情况进行横向比较。 </w:t>
            </w:r>
          </w:p>
          <w:p>
            <w:pPr>
              <w:spacing w:line="340" w:lineRule="exact"/>
              <w:rPr>
                <w:rFonts w:hAnsi="宋体" w:cs="宋体"/>
                <w:color w:val="auto"/>
                <w:szCs w:val="21"/>
                <w:highlight w:val="none"/>
              </w:rPr>
            </w:pPr>
            <w:r>
              <w:rPr>
                <w:rFonts w:hint="eastAsia" w:hAnsi="宋体" w:cs="宋体"/>
                <w:color w:val="auto"/>
                <w:szCs w:val="21"/>
                <w:highlight w:val="none"/>
              </w:rPr>
              <w:t xml:space="preserve">评分标准： </w:t>
            </w:r>
          </w:p>
          <w:p>
            <w:pPr>
              <w:spacing w:line="340" w:lineRule="exact"/>
              <w:rPr>
                <w:rFonts w:hAnsi="宋体" w:cs="宋体"/>
                <w:color w:val="auto"/>
                <w:szCs w:val="21"/>
                <w:highlight w:val="none"/>
              </w:rPr>
            </w:pPr>
            <w:r>
              <w:rPr>
                <w:rFonts w:hint="eastAsia" w:hAnsi="宋体" w:cs="宋体"/>
                <w:color w:val="auto"/>
                <w:szCs w:val="21"/>
                <w:highlight w:val="none"/>
              </w:rPr>
              <w:t>1.内容全面，清晰，措施合理、可靠，得5分；</w:t>
            </w:r>
          </w:p>
          <w:p>
            <w:pPr>
              <w:spacing w:line="340" w:lineRule="exact"/>
              <w:rPr>
                <w:rFonts w:hAnsi="宋体" w:cs="宋体"/>
                <w:color w:val="auto"/>
                <w:szCs w:val="21"/>
                <w:highlight w:val="none"/>
              </w:rPr>
            </w:pPr>
            <w:r>
              <w:rPr>
                <w:rFonts w:hint="eastAsia" w:hAnsi="宋体" w:cs="宋体"/>
                <w:color w:val="auto"/>
                <w:szCs w:val="21"/>
                <w:highlight w:val="none"/>
              </w:rPr>
              <w:t xml:space="preserve">2.内容较全面，比较清晰，措施比较合理、可靠，得3分； </w:t>
            </w:r>
          </w:p>
          <w:p>
            <w:pPr>
              <w:spacing w:line="340" w:lineRule="exact"/>
              <w:rPr>
                <w:rFonts w:hAnsi="宋体" w:cs="宋体"/>
                <w:color w:val="auto"/>
                <w:szCs w:val="21"/>
                <w:highlight w:val="none"/>
              </w:rPr>
            </w:pPr>
            <w:r>
              <w:rPr>
                <w:rFonts w:hint="eastAsia" w:hAnsi="宋体" w:cs="宋体"/>
                <w:color w:val="auto"/>
                <w:szCs w:val="21"/>
                <w:highlight w:val="none"/>
              </w:rPr>
              <w:t xml:space="preserve">3.内容基本全面，基本清晰，措施基本合理、可靠，得1分； </w:t>
            </w:r>
          </w:p>
          <w:p>
            <w:pPr>
              <w:spacing w:line="340" w:lineRule="exact"/>
              <w:rPr>
                <w:rFonts w:hAnsi="宋体" w:cs="宋体"/>
                <w:color w:val="auto"/>
                <w:szCs w:val="21"/>
                <w:highlight w:val="none"/>
              </w:rPr>
            </w:pPr>
            <w:r>
              <w:rPr>
                <w:rFonts w:hint="eastAsia" w:hAnsi="宋体" w:cs="宋体"/>
                <w:color w:val="auto"/>
                <w:szCs w:val="21"/>
                <w:highlight w:val="none"/>
              </w:rPr>
              <w:t>4.内容缺失，不清晰，措施不合理不可靠，不得分。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52" w:type="dxa"/>
            <w:vAlign w:val="center"/>
          </w:tcPr>
          <w:p>
            <w:pPr>
              <w:spacing w:line="380" w:lineRule="exact"/>
              <w:rPr>
                <w:rFonts w:hAnsi="宋体" w:cs="宋体"/>
                <w:color w:val="auto"/>
                <w:szCs w:val="21"/>
                <w:highlight w:val="none"/>
              </w:rPr>
            </w:pPr>
          </w:p>
        </w:tc>
        <w:tc>
          <w:tcPr>
            <w:tcW w:w="765" w:type="dxa"/>
            <w:vAlign w:val="center"/>
          </w:tcPr>
          <w:p>
            <w:pPr>
              <w:spacing w:line="340" w:lineRule="exact"/>
              <w:jc w:val="center"/>
              <w:rPr>
                <w:rFonts w:hAnsi="宋体" w:cs="宋体"/>
                <w:color w:val="auto"/>
                <w:szCs w:val="21"/>
                <w:highlight w:val="none"/>
              </w:rPr>
            </w:pPr>
            <w:r>
              <w:rPr>
                <w:rFonts w:hint="eastAsia" w:hAnsi="宋体" w:cs="宋体"/>
                <w:color w:val="auto"/>
                <w:szCs w:val="21"/>
                <w:highlight w:val="none"/>
              </w:rPr>
              <w:t>4</w:t>
            </w:r>
          </w:p>
        </w:tc>
        <w:tc>
          <w:tcPr>
            <w:tcW w:w="1559"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项目完成（服务期满）后的服务承诺</w:t>
            </w:r>
          </w:p>
        </w:tc>
        <w:tc>
          <w:tcPr>
            <w:tcW w:w="567"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5</w:t>
            </w:r>
          </w:p>
        </w:tc>
        <w:tc>
          <w:tcPr>
            <w:tcW w:w="1134"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招标单位评分</w:t>
            </w:r>
          </w:p>
        </w:tc>
        <w:tc>
          <w:tcPr>
            <w:tcW w:w="4010" w:type="dxa"/>
          </w:tcPr>
          <w:p>
            <w:pPr>
              <w:spacing w:line="340" w:lineRule="exact"/>
              <w:rPr>
                <w:rFonts w:hAnsi="宋体" w:cs="宋体"/>
                <w:color w:val="auto"/>
                <w:szCs w:val="21"/>
                <w:highlight w:val="none"/>
              </w:rPr>
            </w:pPr>
            <w:r>
              <w:rPr>
                <w:rFonts w:hint="eastAsia" w:hAnsi="宋体" w:cs="宋体"/>
                <w:color w:val="auto"/>
                <w:szCs w:val="21"/>
                <w:highlight w:val="none"/>
              </w:rPr>
              <w:t xml:space="preserve">评审内容：投标人提供以下承诺，全部两项的得5分，否则不得分。 </w:t>
            </w:r>
          </w:p>
          <w:p>
            <w:pPr>
              <w:spacing w:line="340" w:lineRule="exact"/>
              <w:rPr>
                <w:rFonts w:hAnsi="宋体" w:cs="宋体"/>
                <w:color w:val="auto"/>
                <w:szCs w:val="21"/>
                <w:highlight w:val="none"/>
              </w:rPr>
            </w:pPr>
            <w:r>
              <w:rPr>
                <w:rFonts w:hint="eastAsia" w:hAnsi="宋体" w:cs="宋体"/>
                <w:color w:val="auto"/>
                <w:szCs w:val="21"/>
                <w:highlight w:val="none"/>
              </w:rPr>
              <w:t xml:space="preserve">（1）承诺服务期满后1个月内主动办理交接工作； </w:t>
            </w:r>
          </w:p>
          <w:p>
            <w:pPr>
              <w:spacing w:line="340" w:lineRule="exact"/>
              <w:rPr>
                <w:rFonts w:hAnsi="宋体" w:cs="宋体"/>
                <w:color w:val="auto"/>
                <w:szCs w:val="21"/>
                <w:highlight w:val="none"/>
              </w:rPr>
            </w:pPr>
            <w:r>
              <w:rPr>
                <w:rFonts w:hint="eastAsia" w:hAnsi="宋体" w:cs="宋体"/>
                <w:color w:val="auto"/>
                <w:szCs w:val="21"/>
                <w:highlight w:val="none"/>
              </w:rPr>
              <w:t xml:space="preserve">（2）服务期满，后续服务公司未到位前仍按原合同服务承诺提供服务的承诺。 </w:t>
            </w:r>
          </w:p>
          <w:p>
            <w:pPr>
              <w:spacing w:line="340" w:lineRule="exact"/>
              <w:rPr>
                <w:rFonts w:hAnsi="宋体" w:cs="宋体"/>
                <w:color w:val="auto"/>
                <w:szCs w:val="21"/>
                <w:highlight w:val="none"/>
              </w:rPr>
            </w:pPr>
            <w:r>
              <w:rPr>
                <w:rFonts w:hint="eastAsia" w:hAnsi="宋体" w:cs="宋体"/>
                <w:color w:val="auto"/>
                <w:szCs w:val="21"/>
                <w:highlight w:val="none"/>
              </w:rPr>
              <w:t>要求提供承诺（格式自定）作为得分依据，未提供承诺或承诺内容不满足要求不得分。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52" w:type="dxa"/>
            <w:vAlign w:val="center"/>
          </w:tcPr>
          <w:p>
            <w:pPr>
              <w:spacing w:line="380" w:lineRule="exact"/>
              <w:rPr>
                <w:rFonts w:hAnsi="宋体" w:cs="宋体"/>
                <w:color w:val="auto"/>
                <w:szCs w:val="21"/>
                <w:highlight w:val="none"/>
              </w:rPr>
            </w:pPr>
          </w:p>
        </w:tc>
        <w:tc>
          <w:tcPr>
            <w:tcW w:w="765" w:type="dxa"/>
            <w:vAlign w:val="center"/>
          </w:tcPr>
          <w:p>
            <w:pPr>
              <w:spacing w:line="340" w:lineRule="exact"/>
              <w:jc w:val="center"/>
              <w:rPr>
                <w:rFonts w:hAnsi="宋体" w:cs="宋体"/>
                <w:color w:val="auto"/>
                <w:szCs w:val="21"/>
                <w:highlight w:val="none"/>
              </w:rPr>
            </w:pPr>
            <w:r>
              <w:rPr>
                <w:rFonts w:hint="eastAsia" w:hAnsi="宋体" w:cs="宋体"/>
                <w:color w:val="auto"/>
                <w:szCs w:val="21"/>
                <w:highlight w:val="none"/>
              </w:rPr>
              <w:t>5</w:t>
            </w:r>
          </w:p>
        </w:tc>
        <w:tc>
          <w:tcPr>
            <w:tcW w:w="1559"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违约承诺</w:t>
            </w:r>
          </w:p>
        </w:tc>
        <w:tc>
          <w:tcPr>
            <w:tcW w:w="567"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5</w:t>
            </w:r>
          </w:p>
        </w:tc>
        <w:tc>
          <w:tcPr>
            <w:tcW w:w="1134"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招标单位评分</w:t>
            </w:r>
          </w:p>
        </w:tc>
        <w:tc>
          <w:tcPr>
            <w:tcW w:w="4010" w:type="dxa"/>
          </w:tcPr>
          <w:p>
            <w:pPr>
              <w:spacing w:line="340" w:lineRule="exact"/>
              <w:rPr>
                <w:rFonts w:hAnsi="宋体" w:cs="宋体"/>
                <w:color w:val="auto"/>
                <w:szCs w:val="21"/>
                <w:highlight w:val="none"/>
              </w:rPr>
            </w:pPr>
            <w:r>
              <w:rPr>
                <w:rFonts w:hint="eastAsia" w:hAnsi="宋体" w:cs="宋体"/>
                <w:color w:val="auto"/>
                <w:szCs w:val="21"/>
                <w:highlight w:val="none"/>
              </w:rPr>
              <w:t xml:space="preserve">评审内容：投标人提供以下违约承诺，并说明违约处理办法，承诺以下全部两项的得5分，否则不得分。 </w:t>
            </w:r>
          </w:p>
          <w:p>
            <w:pPr>
              <w:spacing w:line="340" w:lineRule="exact"/>
              <w:rPr>
                <w:rFonts w:hAnsi="宋体" w:cs="宋体"/>
                <w:color w:val="auto"/>
                <w:szCs w:val="21"/>
                <w:highlight w:val="none"/>
              </w:rPr>
            </w:pPr>
            <w:r>
              <w:rPr>
                <w:rFonts w:hint="eastAsia" w:hAnsi="宋体" w:cs="宋体"/>
                <w:color w:val="auto"/>
                <w:szCs w:val="21"/>
                <w:highlight w:val="none"/>
              </w:rPr>
              <w:t xml:space="preserve">（1）人员严格按照招标文件配置； </w:t>
            </w:r>
          </w:p>
          <w:p>
            <w:pPr>
              <w:spacing w:line="340" w:lineRule="exact"/>
              <w:rPr>
                <w:rFonts w:hAnsi="宋体" w:cs="宋体"/>
                <w:color w:val="auto"/>
                <w:szCs w:val="21"/>
                <w:highlight w:val="none"/>
              </w:rPr>
            </w:pPr>
            <w:r>
              <w:rPr>
                <w:rFonts w:hint="eastAsia" w:hAnsi="宋体" w:cs="宋体"/>
                <w:color w:val="auto"/>
                <w:szCs w:val="21"/>
                <w:highlight w:val="none"/>
              </w:rPr>
              <w:t xml:space="preserve">（2）服务质量达到招标文件要求。 </w:t>
            </w:r>
          </w:p>
          <w:p>
            <w:pPr>
              <w:spacing w:line="340" w:lineRule="exact"/>
              <w:rPr>
                <w:rFonts w:hAnsi="宋体" w:cs="宋体"/>
                <w:color w:val="auto"/>
                <w:szCs w:val="21"/>
                <w:highlight w:val="none"/>
              </w:rPr>
            </w:pPr>
            <w:r>
              <w:rPr>
                <w:rFonts w:hint="eastAsia" w:hAnsi="宋体" w:cs="宋体"/>
                <w:color w:val="auto"/>
                <w:szCs w:val="21"/>
                <w:highlight w:val="none"/>
              </w:rPr>
              <w:t>要求提供承诺（格式自定）作为得分依据，未提供承诺或承诺内容不满足要求不得分。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52" w:type="dxa"/>
            <w:vAlign w:val="center"/>
          </w:tcPr>
          <w:p>
            <w:pPr>
              <w:spacing w:line="380" w:lineRule="exact"/>
              <w:rPr>
                <w:rFonts w:hAnsi="宋体" w:cs="宋体"/>
                <w:color w:val="auto"/>
                <w:szCs w:val="21"/>
                <w:highlight w:val="none"/>
              </w:rPr>
            </w:pPr>
          </w:p>
        </w:tc>
        <w:tc>
          <w:tcPr>
            <w:tcW w:w="765" w:type="dxa"/>
            <w:vAlign w:val="center"/>
          </w:tcPr>
          <w:p>
            <w:pPr>
              <w:spacing w:line="340" w:lineRule="exact"/>
              <w:jc w:val="center"/>
              <w:rPr>
                <w:rFonts w:hAnsi="宋体" w:cs="宋体"/>
                <w:color w:val="auto"/>
                <w:szCs w:val="21"/>
                <w:highlight w:val="none"/>
              </w:rPr>
            </w:pPr>
            <w:r>
              <w:rPr>
                <w:rFonts w:hint="eastAsia" w:hAnsi="宋体" w:cs="宋体"/>
                <w:color w:val="auto"/>
                <w:szCs w:val="21"/>
                <w:highlight w:val="none"/>
              </w:rPr>
              <w:t>6</w:t>
            </w:r>
          </w:p>
        </w:tc>
        <w:tc>
          <w:tcPr>
            <w:tcW w:w="1559"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拟安排的项目负责人情况（仅限一人）</w:t>
            </w:r>
          </w:p>
        </w:tc>
        <w:tc>
          <w:tcPr>
            <w:tcW w:w="567" w:type="dxa"/>
            <w:vAlign w:val="center"/>
          </w:tcPr>
          <w:p>
            <w:pPr>
              <w:spacing w:line="340" w:lineRule="exact"/>
              <w:rPr>
                <w:rFonts w:hint="default" w:hAnsi="宋体" w:cs="宋体"/>
                <w:color w:val="auto"/>
                <w:szCs w:val="21"/>
                <w:highlight w:val="none"/>
              </w:rPr>
            </w:pPr>
            <w:r>
              <w:rPr>
                <w:rFonts w:hint="default" w:hAnsi="宋体" w:cs="宋体"/>
                <w:color w:val="auto"/>
                <w:szCs w:val="21"/>
                <w:highlight w:val="none"/>
              </w:rPr>
              <w:t>5</w:t>
            </w:r>
          </w:p>
        </w:tc>
        <w:tc>
          <w:tcPr>
            <w:tcW w:w="1134"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招标单位评分</w:t>
            </w:r>
          </w:p>
        </w:tc>
        <w:tc>
          <w:tcPr>
            <w:tcW w:w="4010" w:type="dxa"/>
          </w:tcPr>
          <w:p>
            <w:pPr>
              <w:spacing w:line="340" w:lineRule="exact"/>
              <w:rPr>
                <w:rFonts w:hint="eastAsia" w:hAnsi="宋体" w:cs="宋体"/>
                <w:color w:val="auto"/>
                <w:szCs w:val="21"/>
                <w:highlight w:val="none"/>
              </w:rPr>
            </w:pPr>
            <w:r>
              <w:rPr>
                <w:rFonts w:hint="eastAsia" w:hAnsi="宋体" w:cs="宋体"/>
                <w:color w:val="auto"/>
                <w:szCs w:val="21"/>
                <w:highlight w:val="none"/>
              </w:rPr>
              <w:t>评审内容：</w:t>
            </w:r>
          </w:p>
          <w:p>
            <w:pPr>
              <w:spacing w:line="340" w:lineRule="exact"/>
              <w:rPr>
                <w:rFonts w:hint="eastAsia" w:hAnsi="宋体" w:cs="宋体"/>
                <w:color w:val="auto"/>
                <w:szCs w:val="21"/>
                <w:highlight w:val="none"/>
              </w:rPr>
            </w:pPr>
            <w:r>
              <w:rPr>
                <w:rFonts w:hint="eastAsia" w:hAnsi="宋体" w:cs="宋体"/>
                <w:color w:val="auto"/>
                <w:szCs w:val="21"/>
                <w:highlight w:val="none"/>
              </w:rPr>
              <w:t>项目经理：投标人提供1名学历本科及以上，持有PMP（项目管理证书）等相关证书的项目经理，负责整个项目的规划和管理，项目经理同时具有上述2个条件得5分；项目经理具有上述1个条件得2.5分，其他情况不得分。</w:t>
            </w:r>
          </w:p>
          <w:p>
            <w:pPr>
              <w:spacing w:line="340" w:lineRule="exact"/>
              <w:rPr>
                <w:rFonts w:hint="eastAsia" w:hAnsi="宋体" w:cs="宋体"/>
                <w:color w:val="auto"/>
                <w:szCs w:val="21"/>
                <w:highlight w:val="none"/>
              </w:rPr>
            </w:pPr>
            <w:r>
              <w:rPr>
                <w:rFonts w:hint="eastAsia" w:hAnsi="宋体" w:cs="宋体"/>
                <w:color w:val="auto"/>
                <w:szCs w:val="21"/>
                <w:highlight w:val="none"/>
              </w:rPr>
              <w:t>证明材料：</w:t>
            </w:r>
          </w:p>
          <w:p>
            <w:pPr>
              <w:spacing w:line="340" w:lineRule="exact"/>
              <w:rPr>
                <w:rFonts w:hint="eastAsia" w:hAnsi="宋体" w:cs="宋体"/>
                <w:color w:val="auto"/>
                <w:szCs w:val="21"/>
                <w:highlight w:val="none"/>
              </w:rPr>
            </w:pPr>
            <w:r>
              <w:rPr>
                <w:rFonts w:hint="eastAsia" w:hAnsi="宋体" w:cs="宋体"/>
                <w:color w:val="auto"/>
                <w:szCs w:val="21"/>
                <w:highlight w:val="none"/>
              </w:rPr>
              <w:t>1.项目负责人必须为响应供应商自有员工，投标截止日前由投标人为其缴交的近三个月（具体指投标截止日所在月的上一个月起倒算）（已退休返聘人员需提供聘用合同），如开标日上一个月的社保材料因社保部门原因暂时无法取得，则可以往前顺延一个月；证明资料可为社保收缴部门盖章证明资料、社保窗口打印资料或社保官网截图；</w:t>
            </w:r>
          </w:p>
          <w:p>
            <w:pPr>
              <w:spacing w:line="340" w:lineRule="exact"/>
              <w:rPr>
                <w:rFonts w:hAnsi="宋体" w:cs="宋体"/>
                <w:color w:val="auto"/>
                <w:szCs w:val="21"/>
                <w:highlight w:val="none"/>
              </w:rPr>
            </w:pPr>
            <w:r>
              <w:rPr>
                <w:rFonts w:hint="eastAsia" w:hAnsi="宋体" w:cs="宋体"/>
                <w:color w:val="auto"/>
                <w:szCs w:val="21"/>
                <w:highlight w:val="none"/>
              </w:rPr>
              <w:t>2.须提供相关资质证书扫描件。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52" w:type="dxa"/>
            <w:vAlign w:val="center"/>
          </w:tcPr>
          <w:p>
            <w:pPr>
              <w:spacing w:line="340" w:lineRule="exact"/>
              <w:jc w:val="center"/>
              <w:rPr>
                <w:rFonts w:hAnsi="宋体" w:cs="宋体"/>
                <w:b/>
                <w:color w:val="auto"/>
                <w:szCs w:val="21"/>
                <w:highlight w:val="none"/>
              </w:rPr>
            </w:pPr>
            <w:r>
              <w:rPr>
                <w:rFonts w:hint="eastAsia" w:hAnsi="宋体" w:cs="宋体"/>
                <w:b/>
                <w:color w:val="auto"/>
                <w:szCs w:val="21"/>
                <w:highlight w:val="none"/>
              </w:rPr>
              <w:t>3</w:t>
            </w:r>
          </w:p>
        </w:tc>
        <w:tc>
          <w:tcPr>
            <w:tcW w:w="4025" w:type="dxa"/>
            <w:gridSpan w:val="4"/>
            <w:vAlign w:val="center"/>
          </w:tcPr>
          <w:p>
            <w:pPr>
              <w:pStyle w:val="24"/>
              <w:spacing w:before="17" w:line="340" w:lineRule="exact"/>
              <w:ind w:left="129"/>
              <w:jc w:val="center"/>
              <w:rPr>
                <w:b/>
                <w:color w:val="auto"/>
                <w:sz w:val="21"/>
                <w:szCs w:val="21"/>
                <w:highlight w:val="none"/>
              </w:rPr>
            </w:pPr>
            <w:r>
              <w:rPr>
                <w:rFonts w:hint="eastAsia"/>
                <w:b/>
                <w:color w:val="auto"/>
                <w:sz w:val="21"/>
                <w:szCs w:val="21"/>
                <w:highlight w:val="none"/>
              </w:rPr>
              <w:t>商务部分</w:t>
            </w:r>
          </w:p>
        </w:tc>
        <w:tc>
          <w:tcPr>
            <w:tcW w:w="4010" w:type="dxa"/>
          </w:tcPr>
          <w:p>
            <w:pPr>
              <w:pStyle w:val="24"/>
              <w:spacing w:before="25" w:line="340" w:lineRule="exact"/>
              <w:ind w:right="81"/>
              <w:jc w:val="center"/>
              <w:rPr>
                <w:b/>
                <w:color w:val="auto"/>
                <w:spacing w:val="-6"/>
                <w:sz w:val="21"/>
                <w:szCs w:val="21"/>
                <w:highlight w:val="none"/>
              </w:rPr>
            </w:pPr>
            <w:r>
              <w:rPr>
                <w:rFonts w:hint="eastAsia"/>
                <w:b/>
                <w:color w:val="auto"/>
                <w:spacing w:val="-6"/>
                <w:sz w:val="21"/>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52" w:type="dxa"/>
            <w:vMerge w:val="restart"/>
            <w:vAlign w:val="center"/>
          </w:tcPr>
          <w:p>
            <w:pPr>
              <w:spacing w:line="340" w:lineRule="exact"/>
              <w:rPr>
                <w:rFonts w:hAnsi="宋体" w:cs="宋体"/>
                <w:color w:val="auto"/>
                <w:szCs w:val="21"/>
                <w:highlight w:val="none"/>
              </w:rPr>
            </w:pPr>
          </w:p>
        </w:tc>
        <w:tc>
          <w:tcPr>
            <w:tcW w:w="765" w:type="dxa"/>
            <w:vAlign w:val="center"/>
          </w:tcPr>
          <w:p>
            <w:pPr>
              <w:spacing w:line="340" w:lineRule="exact"/>
              <w:jc w:val="center"/>
              <w:rPr>
                <w:rFonts w:hAnsi="宋体" w:cs="宋体"/>
                <w:b/>
                <w:color w:val="auto"/>
                <w:szCs w:val="21"/>
                <w:highlight w:val="none"/>
              </w:rPr>
            </w:pPr>
            <w:r>
              <w:rPr>
                <w:rFonts w:hint="eastAsia" w:hAnsi="宋体" w:cs="宋体"/>
                <w:b/>
                <w:color w:val="auto"/>
                <w:szCs w:val="21"/>
                <w:highlight w:val="none"/>
              </w:rPr>
              <w:t>序号</w:t>
            </w:r>
          </w:p>
        </w:tc>
        <w:tc>
          <w:tcPr>
            <w:tcW w:w="1559" w:type="dxa"/>
            <w:vAlign w:val="center"/>
          </w:tcPr>
          <w:p>
            <w:pPr>
              <w:spacing w:line="340" w:lineRule="exact"/>
              <w:jc w:val="center"/>
              <w:rPr>
                <w:rFonts w:hAnsi="宋体" w:cs="宋体"/>
                <w:b/>
                <w:color w:val="auto"/>
                <w:szCs w:val="21"/>
                <w:highlight w:val="none"/>
              </w:rPr>
            </w:pPr>
            <w:r>
              <w:rPr>
                <w:rFonts w:hint="eastAsia" w:hAnsi="宋体" w:cs="宋体"/>
                <w:b/>
                <w:color w:val="auto"/>
                <w:szCs w:val="21"/>
                <w:highlight w:val="none"/>
              </w:rPr>
              <w:t>评分因素</w:t>
            </w:r>
          </w:p>
        </w:tc>
        <w:tc>
          <w:tcPr>
            <w:tcW w:w="567" w:type="dxa"/>
            <w:vAlign w:val="center"/>
          </w:tcPr>
          <w:p>
            <w:pPr>
              <w:spacing w:line="340" w:lineRule="exact"/>
              <w:jc w:val="center"/>
              <w:rPr>
                <w:rFonts w:hAnsi="宋体" w:cs="宋体"/>
                <w:b/>
                <w:color w:val="auto"/>
                <w:szCs w:val="21"/>
                <w:highlight w:val="none"/>
              </w:rPr>
            </w:pPr>
            <w:r>
              <w:rPr>
                <w:rFonts w:hint="eastAsia" w:hAnsi="宋体" w:cs="宋体"/>
                <w:b/>
                <w:color w:val="auto"/>
                <w:szCs w:val="21"/>
                <w:highlight w:val="none"/>
              </w:rPr>
              <w:t>权重</w:t>
            </w:r>
          </w:p>
        </w:tc>
        <w:tc>
          <w:tcPr>
            <w:tcW w:w="1134" w:type="dxa"/>
            <w:vAlign w:val="center"/>
          </w:tcPr>
          <w:p>
            <w:pPr>
              <w:spacing w:line="340" w:lineRule="exact"/>
              <w:jc w:val="center"/>
              <w:rPr>
                <w:rFonts w:hAnsi="宋体" w:cs="宋体"/>
                <w:b/>
                <w:color w:val="auto"/>
                <w:szCs w:val="21"/>
                <w:highlight w:val="none"/>
              </w:rPr>
            </w:pPr>
            <w:r>
              <w:rPr>
                <w:rFonts w:hint="eastAsia" w:hAnsi="宋体" w:cs="宋体"/>
                <w:b/>
                <w:color w:val="auto"/>
                <w:szCs w:val="21"/>
                <w:highlight w:val="none"/>
              </w:rPr>
              <w:t>评分方式</w:t>
            </w:r>
          </w:p>
        </w:tc>
        <w:tc>
          <w:tcPr>
            <w:tcW w:w="4010" w:type="dxa"/>
            <w:vAlign w:val="center"/>
          </w:tcPr>
          <w:p>
            <w:pPr>
              <w:spacing w:line="340" w:lineRule="exact"/>
              <w:jc w:val="center"/>
              <w:rPr>
                <w:rFonts w:hAnsi="宋体" w:cs="宋体"/>
                <w:b/>
                <w:color w:val="auto"/>
                <w:szCs w:val="21"/>
                <w:highlight w:val="none"/>
              </w:rPr>
            </w:pPr>
            <w:r>
              <w:rPr>
                <w:rFonts w:hint="eastAsia" w:hAnsi="宋体" w:cs="宋体"/>
                <w:b/>
                <w:color w:val="auto"/>
                <w:szCs w:val="21"/>
                <w:highlight w:val="none"/>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52" w:type="dxa"/>
            <w:vMerge w:val="continue"/>
            <w:vAlign w:val="center"/>
          </w:tcPr>
          <w:p>
            <w:pPr>
              <w:spacing w:line="340" w:lineRule="exact"/>
              <w:rPr>
                <w:rFonts w:hAnsi="宋体" w:cs="宋体"/>
                <w:color w:val="auto"/>
                <w:szCs w:val="21"/>
                <w:highlight w:val="none"/>
              </w:rPr>
            </w:pPr>
          </w:p>
        </w:tc>
        <w:tc>
          <w:tcPr>
            <w:tcW w:w="765" w:type="dxa"/>
            <w:vAlign w:val="center"/>
          </w:tcPr>
          <w:p>
            <w:pPr>
              <w:spacing w:line="340" w:lineRule="exact"/>
              <w:jc w:val="center"/>
              <w:rPr>
                <w:rFonts w:hAnsi="宋体" w:cs="宋体"/>
                <w:color w:val="auto"/>
                <w:szCs w:val="21"/>
                <w:highlight w:val="none"/>
              </w:rPr>
            </w:pPr>
            <w:r>
              <w:rPr>
                <w:rFonts w:hint="eastAsia" w:hAnsi="宋体" w:cs="宋体"/>
                <w:color w:val="auto"/>
                <w:szCs w:val="21"/>
                <w:highlight w:val="none"/>
              </w:rPr>
              <w:t>1</w:t>
            </w:r>
          </w:p>
        </w:tc>
        <w:tc>
          <w:tcPr>
            <w:tcW w:w="1559"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投标人资质情况</w:t>
            </w:r>
          </w:p>
        </w:tc>
        <w:tc>
          <w:tcPr>
            <w:tcW w:w="567" w:type="dxa"/>
            <w:vAlign w:val="center"/>
          </w:tcPr>
          <w:p>
            <w:pPr>
              <w:spacing w:line="340" w:lineRule="exact"/>
              <w:rPr>
                <w:rFonts w:hint="default" w:hAnsi="宋体" w:cs="宋体"/>
                <w:color w:val="auto"/>
                <w:szCs w:val="21"/>
                <w:highlight w:val="none"/>
              </w:rPr>
            </w:pPr>
            <w:r>
              <w:rPr>
                <w:rFonts w:hint="default" w:hAnsi="宋体" w:cs="宋体"/>
                <w:color w:val="auto"/>
                <w:szCs w:val="21"/>
                <w:highlight w:val="none"/>
              </w:rPr>
              <w:t>18</w:t>
            </w:r>
          </w:p>
        </w:tc>
        <w:tc>
          <w:tcPr>
            <w:tcW w:w="1134"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招标单位评分</w:t>
            </w:r>
          </w:p>
        </w:tc>
        <w:tc>
          <w:tcPr>
            <w:tcW w:w="4010" w:type="dxa"/>
            <w:vAlign w:val="center"/>
          </w:tcPr>
          <w:p>
            <w:pPr>
              <w:spacing w:line="340" w:lineRule="exact"/>
              <w:rPr>
                <w:rFonts w:hint="eastAsia" w:hAnsi="宋体" w:cs="宋体"/>
                <w:color w:val="auto"/>
                <w:szCs w:val="21"/>
                <w:highlight w:val="none"/>
              </w:rPr>
            </w:pPr>
            <w:r>
              <w:rPr>
                <w:rFonts w:hint="eastAsia" w:hAnsi="宋体" w:cs="宋体"/>
                <w:color w:val="auto"/>
                <w:szCs w:val="21"/>
                <w:highlight w:val="none"/>
              </w:rPr>
              <w:t>评审内容：</w:t>
            </w:r>
          </w:p>
          <w:p>
            <w:pPr>
              <w:spacing w:line="340" w:lineRule="exact"/>
              <w:rPr>
                <w:rFonts w:hint="eastAsia" w:hAnsi="宋体" w:cs="宋体"/>
                <w:color w:val="auto"/>
                <w:szCs w:val="21"/>
                <w:highlight w:val="none"/>
              </w:rPr>
            </w:pPr>
            <w:r>
              <w:rPr>
                <w:rFonts w:hint="eastAsia" w:hAnsi="宋体" w:cs="宋体"/>
                <w:color w:val="auto"/>
                <w:szCs w:val="21"/>
                <w:highlight w:val="none"/>
              </w:rPr>
              <w:t>1.具有国家级高新技术企业证书的，得3分；</w:t>
            </w:r>
          </w:p>
          <w:p>
            <w:pPr>
              <w:spacing w:line="340" w:lineRule="exact"/>
              <w:rPr>
                <w:rFonts w:hint="eastAsia" w:hAnsi="宋体" w:cs="宋体"/>
                <w:color w:val="auto"/>
                <w:szCs w:val="21"/>
                <w:highlight w:val="none"/>
              </w:rPr>
            </w:pPr>
            <w:r>
              <w:rPr>
                <w:rFonts w:hint="eastAsia" w:hAnsi="宋体" w:cs="宋体"/>
                <w:color w:val="auto"/>
                <w:szCs w:val="21"/>
                <w:highlight w:val="none"/>
              </w:rPr>
              <w:t>2.具有信息系统建设和服务能力等级证书，能力达到基本级（CS2）及以上的，得3分；</w:t>
            </w:r>
          </w:p>
          <w:p>
            <w:pPr>
              <w:spacing w:line="340" w:lineRule="exact"/>
              <w:rPr>
                <w:rFonts w:hint="eastAsia" w:hAnsi="宋体" w:cs="宋体"/>
                <w:color w:val="auto"/>
                <w:szCs w:val="21"/>
                <w:highlight w:val="none"/>
              </w:rPr>
            </w:pPr>
            <w:r>
              <w:rPr>
                <w:rFonts w:hint="eastAsia" w:hAnsi="宋体" w:cs="宋体"/>
                <w:color w:val="auto"/>
                <w:szCs w:val="21"/>
                <w:highlight w:val="none"/>
              </w:rPr>
              <w:t>3.具有ITSS信息技术服务运行维护成熟度证书达到三级及以上的，得3分；</w:t>
            </w:r>
          </w:p>
          <w:p>
            <w:pPr>
              <w:spacing w:line="340" w:lineRule="exact"/>
              <w:rPr>
                <w:rFonts w:hint="eastAsia" w:hAnsi="宋体" w:cs="宋体"/>
                <w:color w:val="auto"/>
                <w:szCs w:val="21"/>
                <w:highlight w:val="none"/>
              </w:rPr>
            </w:pPr>
            <w:r>
              <w:rPr>
                <w:rFonts w:hint="eastAsia" w:hAnsi="宋体" w:cs="宋体"/>
                <w:color w:val="auto"/>
                <w:szCs w:val="21"/>
                <w:highlight w:val="none"/>
              </w:rPr>
              <w:t>4.具有CMMI5级认证的，得3分；</w:t>
            </w:r>
          </w:p>
          <w:p>
            <w:pPr>
              <w:spacing w:line="340" w:lineRule="exact"/>
              <w:rPr>
                <w:rFonts w:hint="eastAsia" w:hAnsi="宋体" w:cs="宋体"/>
                <w:color w:val="auto"/>
                <w:szCs w:val="21"/>
                <w:highlight w:val="none"/>
              </w:rPr>
            </w:pPr>
            <w:r>
              <w:rPr>
                <w:rFonts w:hint="eastAsia" w:hAnsi="宋体" w:cs="宋体"/>
                <w:color w:val="auto"/>
                <w:szCs w:val="21"/>
                <w:highlight w:val="none"/>
              </w:rPr>
              <w:t>5.具有软件开发类涉密信息系统集成资质证书（乙级或以上）的，得3分；</w:t>
            </w:r>
          </w:p>
          <w:p>
            <w:pPr>
              <w:spacing w:line="340" w:lineRule="exact"/>
              <w:rPr>
                <w:rFonts w:hint="eastAsia" w:hAnsi="宋体" w:cs="宋体"/>
                <w:color w:val="auto"/>
                <w:szCs w:val="21"/>
                <w:highlight w:val="none"/>
              </w:rPr>
            </w:pPr>
            <w:r>
              <w:rPr>
                <w:rFonts w:hint="eastAsia" w:hAnsi="宋体" w:cs="宋体"/>
                <w:color w:val="auto"/>
                <w:szCs w:val="21"/>
                <w:highlight w:val="none"/>
              </w:rPr>
              <w:t>6.具有信息安全管理体系认证证书（ISO27001），得3分；</w:t>
            </w:r>
          </w:p>
          <w:p>
            <w:pPr>
              <w:spacing w:line="340" w:lineRule="exact"/>
              <w:rPr>
                <w:rFonts w:hint="eastAsia" w:hAnsi="宋体" w:cs="宋体"/>
                <w:color w:val="auto"/>
                <w:szCs w:val="21"/>
                <w:highlight w:val="none"/>
              </w:rPr>
            </w:pPr>
            <w:r>
              <w:rPr>
                <w:rFonts w:hint="eastAsia" w:hAnsi="宋体" w:cs="宋体"/>
                <w:color w:val="auto"/>
                <w:szCs w:val="21"/>
                <w:highlight w:val="none"/>
              </w:rPr>
              <w:t>以上 6项得分累计，最高得 18分。</w:t>
            </w:r>
          </w:p>
          <w:p>
            <w:pPr>
              <w:spacing w:line="340" w:lineRule="exact"/>
              <w:rPr>
                <w:rFonts w:hAnsi="宋体" w:cs="宋体"/>
                <w:color w:val="auto"/>
                <w:szCs w:val="21"/>
                <w:highlight w:val="none"/>
              </w:rPr>
            </w:pPr>
            <w:r>
              <w:rPr>
                <w:rFonts w:hint="eastAsia" w:hAnsi="宋体" w:cs="宋体"/>
                <w:color w:val="auto"/>
                <w:szCs w:val="21"/>
                <w:highlight w:val="none"/>
              </w:rPr>
              <w:t>证明材料：提供在有效期内的相关证书扫描件，原件备查。如未按要求提供证明材料，或所提供的证明材料未能体现上述评分内容的，视为该证明材料无效。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52" w:type="dxa"/>
            <w:vMerge w:val="continue"/>
            <w:vAlign w:val="center"/>
          </w:tcPr>
          <w:p>
            <w:pPr>
              <w:spacing w:line="340" w:lineRule="exact"/>
              <w:rPr>
                <w:rFonts w:hAnsi="宋体" w:cs="宋体"/>
                <w:color w:val="auto"/>
                <w:szCs w:val="21"/>
                <w:highlight w:val="none"/>
              </w:rPr>
            </w:pPr>
          </w:p>
        </w:tc>
        <w:tc>
          <w:tcPr>
            <w:tcW w:w="765" w:type="dxa"/>
            <w:vAlign w:val="center"/>
          </w:tcPr>
          <w:p>
            <w:pPr>
              <w:spacing w:line="340" w:lineRule="exact"/>
              <w:jc w:val="center"/>
              <w:rPr>
                <w:rFonts w:hAnsi="宋体" w:cs="宋体"/>
                <w:color w:val="auto"/>
                <w:szCs w:val="21"/>
                <w:highlight w:val="none"/>
              </w:rPr>
            </w:pPr>
            <w:r>
              <w:rPr>
                <w:rFonts w:hint="eastAsia" w:hAnsi="宋体" w:cs="宋体"/>
                <w:color w:val="auto"/>
                <w:szCs w:val="21"/>
                <w:highlight w:val="none"/>
              </w:rPr>
              <w:t>2</w:t>
            </w:r>
          </w:p>
        </w:tc>
        <w:tc>
          <w:tcPr>
            <w:tcW w:w="1559"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投标人同类项目业绩情况</w:t>
            </w:r>
          </w:p>
        </w:tc>
        <w:tc>
          <w:tcPr>
            <w:tcW w:w="567" w:type="dxa"/>
            <w:vAlign w:val="center"/>
          </w:tcPr>
          <w:p>
            <w:pPr>
              <w:spacing w:line="340" w:lineRule="exact"/>
              <w:rPr>
                <w:rFonts w:hint="default" w:hAnsi="宋体" w:cs="宋体"/>
                <w:color w:val="auto"/>
                <w:szCs w:val="21"/>
                <w:highlight w:val="none"/>
              </w:rPr>
            </w:pPr>
            <w:r>
              <w:rPr>
                <w:rFonts w:hint="default" w:hAnsi="宋体" w:cs="宋体"/>
                <w:color w:val="auto"/>
                <w:szCs w:val="21"/>
                <w:highlight w:val="none"/>
              </w:rPr>
              <w:t>9</w:t>
            </w:r>
          </w:p>
        </w:tc>
        <w:tc>
          <w:tcPr>
            <w:tcW w:w="1134"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招标单位评分</w:t>
            </w:r>
          </w:p>
        </w:tc>
        <w:tc>
          <w:tcPr>
            <w:tcW w:w="4010" w:type="dxa"/>
          </w:tcPr>
          <w:p>
            <w:pPr>
              <w:spacing w:line="340" w:lineRule="exact"/>
              <w:rPr>
                <w:rFonts w:hint="eastAsia" w:hAnsi="宋体" w:cs="宋体"/>
                <w:color w:val="auto"/>
                <w:szCs w:val="21"/>
                <w:highlight w:val="none"/>
              </w:rPr>
            </w:pPr>
            <w:r>
              <w:rPr>
                <w:rFonts w:hint="eastAsia" w:hAnsi="宋体" w:cs="宋体"/>
                <w:color w:val="auto"/>
                <w:szCs w:val="21"/>
                <w:highlight w:val="none"/>
              </w:rPr>
              <w:t>评审内容：</w:t>
            </w:r>
          </w:p>
          <w:p>
            <w:pPr>
              <w:spacing w:line="340" w:lineRule="exact"/>
              <w:rPr>
                <w:rFonts w:hint="eastAsia" w:hAnsi="宋体" w:cs="宋体"/>
                <w:color w:val="auto"/>
                <w:szCs w:val="21"/>
                <w:highlight w:val="none"/>
              </w:rPr>
            </w:pPr>
            <w:r>
              <w:rPr>
                <w:rFonts w:hint="eastAsia" w:hAnsi="宋体" w:cs="宋体"/>
                <w:color w:val="auto"/>
                <w:szCs w:val="21"/>
                <w:highlight w:val="none"/>
              </w:rPr>
              <w:t>考察投标人近3年（2019年1月1日到投标截止时间）完成过政府机关或事业单位或国资国企信息化服务项目，且合同金额在1000万以上的。</w:t>
            </w:r>
          </w:p>
          <w:p>
            <w:pPr>
              <w:spacing w:line="340" w:lineRule="exact"/>
              <w:rPr>
                <w:rFonts w:hint="eastAsia" w:hAnsi="宋体" w:cs="宋体"/>
                <w:color w:val="auto"/>
                <w:szCs w:val="21"/>
                <w:highlight w:val="none"/>
              </w:rPr>
            </w:pPr>
            <w:r>
              <w:rPr>
                <w:rFonts w:hint="eastAsia" w:hAnsi="宋体" w:cs="宋体"/>
                <w:color w:val="auto"/>
                <w:szCs w:val="21"/>
                <w:highlight w:val="none"/>
              </w:rPr>
              <w:t>评分依据：</w:t>
            </w:r>
          </w:p>
          <w:p>
            <w:pPr>
              <w:spacing w:line="340" w:lineRule="exact"/>
              <w:rPr>
                <w:rFonts w:hint="eastAsia" w:hAnsi="宋体" w:cs="宋体"/>
                <w:color w:val="auto"/>
                <w:szCs w:val="21"/>
                <w:highlight w:val="none"/>
              </w:rPr>
            </w:pPr>
            <w:r>
              <w:rPr>
                <w:rFonts w:hint="eastAsia" w:hAnsi="宋体" w:cs="宋体"/>
                <w:color w:val="auto"/>
                <w:szCs w:val="21"/>
                <w:highlight w:val="none"/>
              </w:rPr>
              <w:t>1）每提供一个合同案例得3分，最高得9分；</w:t>
            </w:r>
          </w:p>
          <w:p>
            <w:pPr>
              <w:spacing w:line="340" w:lineRule="exact"/>
              <w:rPr>
                <w:rFonts w:hint="eastAsia" w:hAnsi="宋体" w:cs="宋体"/>
                <w:color w:val="auto"/>
                <w:szCs w:val="21"/>
                <w:highlight w:val="none"/>
              </w:rPr>
            </w:pPr>
            <w:r>
              <w:rPr>
                <w:rFonts w:hint="eastAsia" w:hAnsi="宋体" w:cs="宋体"/>
                <w:color w:val="auto"/>
                <w:szCs w:val="21"/>
                <w:highlight w:val="none"/>
              </w:rPr>
              <w:t>2）提供合同关键信息作为得分依据。</w:t>
            </w:r>
          </w:p>
          <w:p>
            <w:pPr>
              <w:spacing w:line="340" w:lineRule="exact"/>
              <w:rPr>
                <w:rFonts w:hint="eastAsia" w:hAnsi="宋体" w:cs="宋体"/>
                <w:color w:val="auto"/>
                <w:szCs w:val="21"/>
                <w:highlight w:val="none"/>
              </w:rPr>
            </w:pPr>
            <w:r>
              <w:rPr>
                <w:rFonts w:hint="eastAsia" w:hAnsi="宋体" w:cs="宋体"/>
                <w:color w:val="auto"/>
                <w:szCs w:val="21"/>
                <w:highlight w:val="none"/>
              </w:rPr>
              <w:t>3）通过合同关键信息无法判断的，须同时提供能证明经验的其它资料，如：项目报告或合同甲方出具的证明文件等。</w:t>
            </w:r>
          </w:p>
          <w:p>
            <w:pPr>
              <w:spacing w:line="340" w:lineRule="exact"/>
              <w:rPr>
                <w:rFonts w:hAnsi="宋体" w:cs="宋体"/>
                <w:color w:val="auto"/>
                <w:szCs w:val="21"/>
                <w:highlight w:val="none"/>
              </w:rPr>
            </w:pPr>
            <w:r>
              <w:rPr>
                <w:rFonts w:hint="eastAsia" w:hAnsi="宋体" w:cs="宋体"/>
                <w:color w:val="auto"/>
                <w:szCs w:val="21"/>
                <w:highlight w:val="none"/>
              </w:rPr>
              <w:t>4）以上资料要求提供复印件加盖公章，原件备查。评分中出现无证明资料或专家无法凭所提供资料判断不得分。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52" w:type="dxa"/>
            <w:vMerge w:val="continue"/>
            <w:vAlign w:val="center"/>
          </w:tcPr>
          <w:p>
            <w:pPr>
              <w:spacing w:line="340" w:lineRule="exact"/>
              <w:rPr>
                <w:rFonts w:hAnsi="宋体" w:cs="宋体"/>
                <w:color w:val="auto"/>
                <w:szCs w:val="21"/>
                <w:highlight w:val="none"/>
              </w:rPr>
            </w:pPr>
          </w:p>
        </w:tc>
        <w:tc>
          <w:tcPr>
            <w:tcW w:w="765" w:type="dxa"/>
            <w:vAlign w:val="center"/>
          </w:tcPr>
          <w:p>
            <w:pPr>
              <w:spacing w:line="340" w:lineRule="exact"/>
              <w:jc w:val="center"/>
              <w:rPr>
                <w:rFonts w:hint="default" w:hAnsi="宋体" w:cs="宋体"/>
                <w:color w:val="auto"/>
                <w:szCs w:val="21"/>
                <w:highlight w:val="none"/>
              </w:rPr>
            </w:pPr>
            <w:r>
              <w:rPr>
                <w:rFonts w:hint="default" w:hAnsi="宋体" w:cs="宋体"/>
                <w:color w:val="auto"/>
                <w:szCs w:val="21"/>
                <w:highlight w:val="none"/>
              </w:rPr>
              <w:t>3</w:t>
            </w:r>
          </w:p>
        </w:tc>
        <w:tc>
          <w:tcPr>
            <w:tcW w:w="1559"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服务网点</w:t>
            </w:r>
          </w:p>
        </w:tc>
        <w:tc>
          <w:tcPr>
            <w:tcW w:w="567" w:type="dxa"/>
            <w:vAlign w:val="center"/>
          </w:tcPr>
          <w:p>
            <w:pPr>
              <w:spacing w:line="340" w:lineRule="exact"/>
              <w:rPr>
                <w:rFonts w:hint="default" w:hAnsi="宋体" w:cs="宋体"/>
                <w:color w:val="auto"/>
                <w:szCs w:val="21"/>
                <w:highlight w:val="none"/>
              </w:rPr>
            </w:pPr>
            <w:r>
              <w:rPr>
                <w:rFonts w:hint="default" w:hAnsi="宋体" w:cs="宋体"/>
                <w:color w:val="auto"/>
                <w:szCs w:val="21"/>
                <w:highlight w:val="none"/>
              </w:rPr>
              <w:t>3</w:t>
            </w:r>
          </w:p>
        </w:tc>
        <w:tc>
          <w:tcPr>
            <w:tcW w:w="1134"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招标单位评分</w:t>
            </w:r>
          </w:p>
        </w:tc>
        <w:tc>
          <w:tcPr>
            <w:tcW w:w="4010" w:type="dxa"/>
          </w:tcPr>
          <w:p>
            <w:pPr>
              <w:spacing w:line="340" w:lineRule="exact"/>
              <w:rPr>
                <w:rFonts w:hint="eastAsia" w:hAnsi="宋体" w:cs="宋体"/>
                <w:color w:val="auto"/>
                <w:szCs w:val="21"/>
                <w:highlight w:val="none"/>
              </w:rPr>
            </w:pPr>
            <w:r>
              <w:rPr>
                <w:rFonts w:hint="eastAsia" w:hAnsi="宋体" w:cs="宋体"/>
                <w:color w:val="auto"/>
                <w:szCs w:val="21"/>
                <w:highlight w:val="none"/>
              </w:rPr>
              <w:t>评分内容：</w:t>
            </w:r>
          </w:p>
          <w:p>
            <w:pPr>
              <w:spacing w:line="340" w:lineRule="exact"/>
              <w:rPr>
                <w:rFonts w:hAnsi="宋体" w:cs="宋体"/>
                <w:color w:val="auto"/>
                <w:szCs w:val="21"/>
                <w:highlight w:val="none"/>
              </w:rPr>
            </w:pPr>
            <w:r>
              <w:rPr>
                <w:rFonts w:hint="eastAsia" w:hAnsi="宋体" w:cs="宋体"/>
                <w:color w:val="auto"/>
                <w:szCs w:val="21"/>
                <w:highlight w:val="none"/>
              </w:rPr>
              <w:t>投标人应为深圳本地服务商，或非深圳服务商但在深圳有合法注册的分公司（分公司的必须提供分公司营业执照扫描件，原件备查）的，得3分；否则不得分。</w:t>
            </w:r>
          </w:p>
        </w:tc>
      </w:tr>
    </w:tbl>
    <w:p>
      <w:pPr>
        <w:pStyle w:val="9"/>
        <w:ind w:left="0" w:leftChars="0" w:firstLine="0" w:firstLineChars="0"/>
      </w:pPr>
    </w:p>
    <w:p>
      <w:pPr>
        <w:pStyle w:val="3"/>
        <w:spacing w:before="156" w:after="156"/>
        <w:ind w:firstLine="720" w:firstLineChars="200"/>
        <w:rPr>
          <w:rFonts w:ascii="黑体" w:hAnsi="黑体" w:eastAsia="黑体" w:cs="黑体"/>
          <w:b w:val="0"/>
          <w:bCs w:val="0"/>
          <w:color w:val="auto"/>
          <w:highlight w:val="none"/>
        </w:rPr>
      </w:pPr>
      <w:r>
        <w:rPr>
          <w:rFonts w:hint="eastAsia" w:ascii="黑体" w:hAnsi="黑体" w:eastAsia="黑体" w:cs="黑体"/>
          <w:b w:val="0"/>
          <w:bCs w:val="0"/>
          <w:color w:val="auto"/>
          <w:highlight w:val="none"/>
        </w:rPr>
        <w:t>四、供应商资格要求</w:t>
      </w:r>
    </w:p>
    <w:p>
      <w:pPr>
        <w:widowControl/>
        <w:spacing w:before="120" w:after="120" w:line="360" w:lineRule="auto"/>
        <w:ind w:firstLine="480" w:firstLineChars="200"/>
        <w:rPr>
          <w:rFonts w:hint="eastAsia" w:hAnsi="宋体"/>
          <w:color w:val="auto"/>
          <w:kern w:val="0"/>
          <w:sz w:val="24"/>
          <w:szCs w:val="20"/>
          <w:highlight w:val="none"/>
          <w:lang w:eastAsia="zh-CN"/>
        </w:rPr>
      </w:pPr>
      <w:r>
        <w:rPr>
          <w:rFonts w:hint="eastAsia" w:hAnsi="宋体"/>
          <w:color w:val="auto"/>
          <w:kern w:val="0"/>
          <w:sz w:val="24"/>
          <w:szCs w:val="20"/>
          <w:highlight w:val="none"/>
        </w:rPr>
        <w:t>1、</w:t>
      </w:r>
      <w:r>
        <w:rPr>
          <w:rFonts w:hint="eastAsia" w:hAnsi="宋体"/>
          <w:color w:val="auto"/>
          <w:kern w:val="0"/>
          <w:sz w:val="24"/>
          <w:szCs w:val="20"/>
          <w:highlight w:val="none"/>
          <w:lang w:eastAsia="zh-CN"/>
        </w:rPr>
        <w:t>在中华人民共和国国内注册的具有合法经营资格的法人或是具有独立承担民事责任能力的其它组织（提供营业执照或事业单位法人证书等证明资料扫描件，原件备查）；</w:t>
      </w:r>
    </w:p>
    <w:p>
      <w:pPr>
        <w:widowControl/>
        <w:spacing w:before="120" w:after="120" w:line="360" w:lineRule="auto"/>
        <w:ind w:firstLine="480" w:firstLineChars="200"/>
        <w:rPr>
          <w:rFonts w:hint="eastAsia" w:hAnsi="宋体"/>
          <w:color w:val="auto"/>
          <w:kern w:val="0"/>
          <w:sz w:val="24"/>
          <w:szCs w:val="20"/>
          <w:highlight w:val="none"/>
          <w:lang w:eastAsia="zh-CN"/>
        </w:rPr>
      </w:pPr>
      <w:r>
        <w:rPr>
          <w:rFonts w:hint="eastAsia" w:hAnsi="宋体"/>
          <w:color w:val="auto"/>
          <w:kern w:val="0"/>
          <w:sz w:val="24"/>
          <w:szCs w:val="20"/>
          <w:highlight w:val="none"/>
          <w:lang w:val="en-US" w:eastAsia="zh-CN"/>
        </w:rPr>
        <w:t>2、</w:t>
      </w:r>
      <w:r>
        <w:rPr>
          <w:rFonts w:hint="eastAsia" w:hAnsi="宋体"/>
          <w:color w:val="auto"/>
          <w:kern w:val="0"/>
          <w:sz w:val="24"/>
          <w:szCs w:val="20"/>
          <w:highlight w:val="none"/>
          <w:lang w:eastAsia="zh-CN"/>
        </w:rPr>
        <w:t>本项目不接受联合体投标，不接受投标人选用进口产品参与投标；</w:t>
      </w:r>
    </w:p>
    <w:p>
      <w:pPr>
        <w:widowControl/>
        <w:spacing w:before="120" w:after="120" w:line="360" w:lineRule="auto"/>
        <w:ind w:firstLine="480" w:firstLineChars="200"/>
        <w:rPr>
          <w:rFonts w:hint="eastAsia" w:hAnsi="宋体"/>
          <w:color w:val="auto"/>
          <w:kern w:val="0"/>
          <w:sz w:val="24"/>
          <w:szCs w:val="20"/>
          <w:highlight w:val="none"/>
          <w:lang w:eastAsia="zh-CN"/>
        </w:rPr>
      </w:pPr>
      <w:r>
        <w:rPr>
          <w:rFonts w:hint="eastAsia" w:hAnsi="宋体"/>
          <w:color w:val="auto"/>
          <w:kern w:val="0"/>
          <w:sz w:val="24"/>
          <w:szCs w:val="20"/>
          <w:highlight w:val="none"/>
          <w:lang w:eastAsia="zh-CN"/>
        </w:rPr>
        <w:t>3、有过服务政府单位或国有企业的相关案例及服务成果；</w:t>
      </w:r>
    </w:p>
    <w:p>
      <w:pPr>
        <w:widowControl/>
        <w:spacing w:before="120" w:after="120" w:line="360" w:lineRule="auto"/>
        <w:ind w:firstLine="480" w:firstLineChars="200"/>
        <w:rPr>
          <w:rFonts w:hint="eastAsia" w:hAnsi="宋体"/>
          <w:color w:val="auto"/>
          <w:kern w:val="0"/>
          <w:sz w:val="24"/>
          <w:szCs w:val="20"/>
          <w:highlight w:val="none"/>
          <w:lang w:eastAsia="zh-CN"/>
        </w:rPr>
      </w:pPr>
      <w:r>
        <w:rPr>
          <w:rFonts w:hint="eastAsia" w:hAnsi="宋体"/>
          <w:color w:val="auto"/>
          <w:kern w:val="0"/>
          <w:sz w:val="24"/>
          <w:szCs w:val="20"/>
          <w:highlight w:val="none"/>
          <w:lang w:eastAsia="zh-CN"/>
        </w:rPr>
        <w:t>4、参与本项目投标前三年内，在经营活动中没有重大违法记录（由供应商在《政府采购投标及履约承诺函》中作出声明）；</w:t>
      </w:r>
    </w:p>
    <w:p>
      <w:pPr>
        <w:widowControl/>
        <w:spacing w:before="120" w:after="120" w:line="360" w:lineRule="auto"/>
        <w:ind w:firstLine="480" w:firstLineChars="200"/>
        <w:rPr>
          <w:rFonts w:hint="eastAsia" w:hAnsi="宋体"/>
          <w:color w:val="auto"/>
          <w:kern w:val="0"/>
          <w:sz w:val="24"/>
          <w:szCs w:val="20"/>
          <w:highlight w:val="none"/>
          <w:lang w:eastAsia="zh-CN"/>
        </w:rPr>
      </w:pPr>
      <w:r>
        <w:rPr>
          <w:rFonts w:hint="eastAsia" w:hAnsi="宋体"/>
          <w:color w:val="auto"/>
          <w:kern w:val="0"/>
          <w:sz w:val="24"/>
          <w:szCs w:val="20"/>
          <w:highlight w:val="none"/>
          <w:lang w:eastAsia="zh-CN"/>
        </w:rPr>
        <w:t>5、参与本项目政府采购活动时不存在被有关部门禁止参与政府采购活动且在有效期内的情况（由供应商在《政府采购投标及履约承诺函》中作出声明）；</w:t>
      </w:r>
    </w:p>
    <w:p>
      <w:pPr>
        <w:widowControl/>
        <w:spacing w:before="120" w:after="120" w:line="360" w:lineRule="auto"/>
        <w:ind w:firstLine="480" w:firstLineChars="200"/>
        <w:rPr>
          <w:rFonts w:hint="eastAsia" w:hAnsi="宋体"/>
          <w:color w:val="auto"/>
          <w:kern w:val="0"/>
          <w:sz w:val="24"/>
          <w:szCs w:val="20"/>
          <w:highlight w:val="none"/>
          <w:lang w:eastAsia="zh-CN"/>
        </w:rPr>
      </w:pPr>
      <w:r>
        <w:rPr>
          <w:rFonts w:hint="eastAsia" w:hAnsi="宋体"/>
          <w:color w:val="auto"/>
          <w:kern w:val="0"/>
          <w:sz w:val="24"/>
          <w:szCs w:val="20"/>
          <w:highlight w:val="none"/>
          <w:lang w:eastAsia="zh-CN"/>
        </w:rPr>
        <w:t>6、非深圳企业参与本采购项目，服务商必须在深圳设有经工商注册的分支机构，提供相关证明材料（加盖服务商公章）；</w:t>
      </w:r>
    </w:p>
    <w:p>
      <w:pPr>
        <w:widowControl/>
        <w:spacing w:before="120" w:after="120" w:line="360" w:lineRule="auto"/>
        <w:ind w:firstLine="480" w:firstLineChars="200"/>
        <w:rPr>
          <w:rFonts w:hint="eastAsia" w:hAnsi="宋体"/>
          <w:color w:val="auto"/>
          <w:kern w:val="0"/>
          <w:sz w:val="24"/>
          <w:szCs w:val="20"/>
          <w:highlight w:val="none"/>
          <w:lang w:eastAsia="zh-CN"/>
        </w:rPr>
      </w:pPr>
      <w:r>
        <w:rPr>
          <w:rFonts w:hint="eastAsia" w:hAnsi="宋体"/>
          <w:color w:val="auto"/>
          <w:kern w:val="0"/>
          <w:sz w:val="24"/>
          <w:szCs w:val="20"/>
          <w:highlight w:val="none"/>
          <w:lang w:eastAsia="zh-CN"/>
        </w:rPr>
        <w:t>7、未被列入失信被执行人、重大税收违法案件当事人名单、政府采购严重违法失信行为记录名单（由供应商在《政府采购投标及履约承诺函》中作出声明）；</w:t>
      </w:r>
    </w:p>
    <w:p>
      <w:pPr>
        <w:widowControl/>
        <w:spacing w:before="120" w:after="120" w:line="360" w:lineRule="auto"/>
        <w:ind w:firstLine="480" w:firstLineChars="200"/>
        <w:rPr>
          <w:rFonts w:hint="eastAsia" w:hAnsi="宋体"/>
          <w:color w:val="auto"/>
          <w:kern w:val="0"/>
          <w:sz w:val="24"/>
          <w:szCs w:val="20"/>
          <w:highlight w:val="none"/>
          <w:lang w:eastAsia="zh-CN"/>
        </w:rPr>
      </w:pPr>
      <w:r>
        <w:rPr>
          <w:rFonts w:hint="eastAsia" w:hAnsi="宋体"/>
          <w:color w:val="auto"/>
          <w:kern w:val="0"/>
          <w:sz w:val="24"/>
          <w:szCs w:val="20"/>
          <w:highlight w:val="none"/>
          <w:lang w:eastAsia="zh-CN"/>
        </w:rPr>
        <w:t>8、具有合同履行能力且愿意承担本采购项目的全部投资及相关费用。</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注：“信用中国”、“中国政府采购网”、“深圳信用网”以及“深圳市政府采购监管网”为供应商信用信息的查询渠道。</w:t>
      </w:r>
    </w:p>
    <w:p>
      <w:pPr>
        <w:pStyle w:val="3"/>
        <w:spacing w:before="156" w:after="156"/>
        <w:ind w:firstLine="720" w:firstLineChars="200"/>
        <w:rPr>
          <w:rFonts w:ascii="黑体" w:hAnsi="黑体" w:eastAsia="黑体" w:cs="黑体"/>
          <w:b w:val="0"/>
          <w:bCs w:val="0"/>
          <w:color w:val="auto"/>
          <w:highlight w:val="none"/>
        </w:rPr>
      </w:pPr>
      <w:r>
        <w:rPr>
          <w:rFonts w:hint="eastAsia" w:ascii="黑体" w:hAnsi="黑体" w:eastAsia="黑体" w:cs="黑体"/>
          <w:b w:val="0"/>
          <w:bCs w:val="0"/>
          <w:color w:val="auto"/>
          <w:highlight w:val="none"/>
        </w:rPr>
        <w:t>五、商务要求</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（一）项目完成期限：202</w:t>
      </w:r>
      <w:r>
        <w:rPr>
          <w:rFonts w:hint="eastAsia" w:hAnsi="宋体"/>
          <w:color w:val="auto"/>
          <w:kern w:val="0"/>
          <w:sz w:val="24"/>
          <w:szCs w:val="20"/>
          <w:highlight w:val="none"/>
          <w:lang w:val="en-US" w:eastAsia="zh-CN"/>
        </w:rPr>
        <w:t>2</w:t>
      </w:r>
      <w:r>
        <w:rPr>
          <w:rFonts w:hint="eastAsia" w:hAnsi="宋体"/>
          <w:color w:val="auto"/>
          <w:kern w:val="0"/>
          <w:sz w:val="24"/>
          <w:szCs w:val="20"/>
          <w:highlight w:val="none"/>
        </w:rPr>
        <w:t>年1</w:t>
      </w:r>
      <w:r>
        <w:rPr>
          <w:rFonts w:hint="eastAsia" w:hAnsi="宋体"/>
          <w:color w:val="auto"/>
          <w:kern w:val="0"/>
          <w:sz w:val="24"/>
          <w:szCs w:val="20"/>
          <w:highlight w:val="none"/>
          <w:lang w:val="en-US" w:eastAsia="zh-CN"/>
        </w:rPr>
        <w:t>2</w:t>
      </w:r>
      <w:r>
        <w:rPr>
          <w:rFonts w:hint="eastAsia" w:hAnsi="宋体"/>
          <w:color w:val="auto"/>
          <w:kern w:val="0"/>
          <w:sz w:val="24"/>
          <w:szCs w:val="20"/>
          <w:highlight w:val="none"/>
        </w:rPr>
        <w:t>月31日之前完成年度服务事项。</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（二）报价要求：本项目预算金额：人民币</w:t>
      </w:r>
      <w:r>
        <w:rPr>
          <w:rFonts w:hint="eastAsia" w:hAnsi="宋体"/>
          <w:color w:val="auto"/>
          <w:kern w:val="0"/>
          <w:sz w:val="24"/>
          <w:szCs w:val="20"/>
          <w:highlight w:val="none"/>
          <w:lang w:val="en-US" w:eastAsia="zh-CN"/>
        </w:rPr>
        <w:t>56万</w:t>
      </w:r>
      <w:bookmarkStart w:id="0" w:name="_GoBack"/>
      <w:bookmarkEnd w:id="0"/>
      <w:r>
        <w:rPr>
          <w:rFonts w:hint="eastAsia" w:hAnsi="宋体"/>
          <w:color w:val="auto"/>
          <w:kern w:val="0"/>
          <w:sz w:val="24"/>
          <w:szCs w:val="20"/>
          <w:highlight w:val="none"/>
        </w:rPr>
        <w:t>元，含所有税费。根据服务内容报价再汇总价。超出预算的报价为无效报价。</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（三）验收及付款方式</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1、202</w:t>
      </w:r>
      <w:r>
        <w:rPr>
          <w:rFonts w:hint="eastAsia" w:hAnsi="宋体"/>
          <w:color w:val="auto"/>
          <w:kern w:val="0"/>
          <w:sz w:val="24"/>
          <w:szCs w:val="20"/>
          <w:highlight w:val="none"/>
          <w:lang w:val="en-US" w:eastAsia="zh-CN"/>
        </w:rPr>
        <w:t>2</w:t>
      </w:r>
      <w:r>
        <w:rPr>
          <w:rFonts w:hint="eastAsia" w:hAnsi="宋体"/>
          <w:color w:val="auto"/>
          <w:kern w:val="0"/>
          <w:sz w:val="24"/>
          <w:szCs w:val="20"/>
          <w:highlight w:val="none"/>
        </w:rPr>
        <w:t>年1</w:t>
      </w:r>
      <w:r>
        <w:rPr>
          <w:rFonts w:hint="eastAsia" w:hAnsi="宋体"/>
          <w:color w:val="auto"/>
          <w:kern w:val="0"/>
          <w:sz w:val="24"/>
          <w:szCs w:val="20"/>
          <w:highlight w:val="none"/>
          <w:lang w:val="en-US" w:eastAsia="zh-CN"/>
        </w:rPr>
        <w:t>2</w:t>
      </w:r>
      <w:r>
        <w:rPr>
          <w:rFonts w:hint="eastAsia" w:hAnsi="宋体"/>
          <w:color w:val="auto"/>
          <w:kern w:val="0"/>
          <w:sz w:val="24"/>
          <w:szCs w:val="20"/>
          <w:highlight w:val="none"/>
        </w:rPr>
        <w:t>月31日之前完成所有服务事项。</w:t>
      </w:r>
    </w:p>
    <w:p>
      <w:pPr>
        <w:widowControl/>
        <w:spacing w:before="120" w:after="120" w:line="360" w:lineRule="auto"/>
        <w:ind w:firstLine="480" w:firstLineChars="200"/>
        <w:rPr>
          <w:rFonts w:hint="eastAsia" w:hAnsi="宋体"/>
          <w:color w:val="auto"/>
          <w:kern w:val="0"/>
          <w:sz w:val="24"/>
          <w:szCs w:val="20"/>
          <w:highlight w:val="none"/>
        </w:rPr>
      </w:pPr>
      <w:r>
        <w:rPr>
          <w:rFonts w:hint="eastAsia" w:hAnsi="宋体"/>
          <w:color w:val="auto"/>
          <w:kern w:val="0"/>
          <w:sz w:val="24"/>
          <w:szCs w:val="20"/>
          <w:highlight w:val="none"/>
        </w:rPr>
        <w:t>2、年度服务事项完成后，市国资委及时按规定对该项目进行验收。</w:t>
      </w:r>
      <w:r>
        <w:rPr>
          <w:rFonts w:hint="eastAsia" w:hAnsi="宋体"/>
          <w:color w:val="auto"/>
          <w:kern w:val="0"/>
          <w:sz w:val="24"/>
          <w:szCs w:val="20"/>
          <w:highlight w:val="none"/>
          <w:lang w:eastAsia="zh-CN"/>
        </w:rPr>
        <w:t>供应商</w:t>
      </w:r>
      <w:r>
        <w:rPr>
          <w:rFonts w:hint="eastAsia" w:hAnsi="宋体"/>
          <w:color w:val="auto"/>
          <w:kern w:val="0"/>
          <w:sz w:val="24"/>
          <w:szCs w:val="20"/>
          <w:highlight w:val="none"/>
        </w:rPr>
        <w:t>应以书面形式向市国资委递交验收通知书，市国资委在收到验收通知书的7个工作日内，安排具体日期，由双方按照合同的规定完成项目验收。如符合要求，双方共同签署验收报告。如不符合要求，</w:t>
      </w:r>
      <w:r>
        <w:rPr>
          <w:rFonts w:hint="eastAsia" w:hAnsi="宋体"/>
          <w:color w:val="auto"/>
          <w:kern w:val="0"/>
          <w:sz w:val="24"/>
          <w:szCs w:val="20"/>
          <w:highlight w:val="none"/>
          <w:lang w:eastAsia="zh-CN"/>
        </w:rPr>
        <w:t>供应商</w:t>
      </w:r>
      <w:r>
        <w:rPr>
          <w:rFonts w:hint="eastAsia" w:hAnsi="宋体"/>
          <w:color w:val="auto"/>
          <w:kern w:val="0"/>
          <w:sz w:val="24"/>
          <w:szCs w:val="20"/>
          <w:highlight w:val="none"/>
        </w:rPr>
        <w:t>仍应予以整改，并承担相关费用，同时延长验收期限，直至项目完全符合验收标准。</w:t>
      </w:r>
    </w:p>
    <w:p>
      <w:pPr>
        <w:widowControl/>
        <w:spacing w:before="120" w:after="120" w:line="360" w:lineRule="auto"/>
        <w:ind w:firstLine="480" w:firstLineChars="200"/>
        <w:rPr>
          <w:rFonts w:hint="eastAsia" w:hAnsi="宋体"/>
          <w:color w:val="auto"/>
          <w:kern w:val="0"/>
          <w:sz w:val="24"/>
          <w:szCs w:val="20"/>
          <w:highlight w:val="none"/>
          <w:lang w:eastAsia="zh-CN"/>
        </w:rPr>
      </w:pPr>
      <w:r>
        <w:rPr>
          <w:rFonts w:hint="eastAsia" w:hAnsi="宋体"/>
          <w:color w:val="auto"/>
          <w:kern w:val="0"/>
          <w:sz w:val="24"/>
          <w:szCs w:val="20"/>
          <w:highlight w:val="none"/>
        </w:rPr>
        <w:t>3、支付方式采用年度服务费用。其中服务费用的70%为固定支付费用，服务</w:t>
      </w:r>
      <w:r>
        <w:rPr>
          <w:rFonts w:hint="eastAsia" w:hAnsi="宋体"/>
          <w:color w:val="auto"/>
          <w:kern w:val="0"/>
          <w:sz w:val="24"/>
          <w:szCs w:val="20"/>
          <w:highlight w:val="none"/>
          <w:lang w:val="en-US" w:eastAsia="zh-CN"/>
        </w:rPr>
        <w:t>通过验收后，支付合同金额30%。</w:t>
      </w:r>
    </w:p>
    <w:sectPr>
      <w:pgSz w:w="11906" w:h="16838"/>
      <w:pgMar w:top="1440" w:right="1800" w:bottom="1440" w:left="1800" w:header="851" w:footer="992" w:gutter="0"/>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A57AA5"/>
    <w:rsid w:val="0000325F"/>
    <w:rsid w:val="000131F9"/>
    <w:rsid w:val="000138DB"/>
    <w:rsid w:val="00016126"/>
    <w:rsid w:val="00025E60"/>
    <w:rsid w:val="00025F18"/>
    <w:rsid w:val="000261C7"/>
    <w:rsid w:val="000264C4"/>
    <w:rsid w:val="0003107A"/>
    <w:rsid w:val="00033DEB"/>
    <w:rsid w:val="00037D5A"/>
    <w:rsid w:val="000433F6"/>
    <w:rsid w:val="00046267"/>
    <w:rsid w:val="00051FC2"/>
    <w:rsid w:val="000539F5"/>
    <w:rsid w:val="00057FD4"/>
    <w:rsid w:val="00062EB5"/>
    <w:rsid w:val="00062F86"/>
    <w:rsid w:val="00063A54"/>
    <w:rsid w:val="00063CDC"/>
    <w:rsid w:val="00067D75"/>
    <w:rsid w:val="000722A4"/>
    <w:rsid w:val="00081815"/>
    <w:rsid w:val="00081F16"/>
    <w:rsid w:val="0008380B"/>
    <w:rsid w:val="000879DD"/>
    <w:rsid w:val="000935E7"/>
    <w:rsid w:val="00095E97"/>
    <w:rsid w:val="000C058F"/>
    <w:rsid w:val="000C2122"/>
    <w:rsid w:val="000C37AB"/>
    <w:rsid w:val="000C7BCB"/>
    <w:rsid w:val="000D0A31"/>
    <w:rsid w:val="000D164E"/>
    <w:rsid w:val="000D40AA"/>
    <w:rsid w:val="000D40EA"/>
    <w:rsid w:val="000D4C09"/>
    <w:rsid w:val="000D4D25"/>
    <w:rsid w:val="000E3742"/>
    <w:rsid w:val="000F2864"/>
    <w:rsid w:val="000F3853"/>
    <w:rsid w:val="000F554C"/>
    <w:rsid w:val="000F65BB"/>
    <w:rsid w:val="000F7AF1"/>
    <w:rsid w:val="0010097F"/>
    <w:rsid w:val="00100B06"/>
    <w:rsid w:val="00101DF3"/>
    <w:rsid w:val="00107270"/>
    <w:rsid w:val="00114465"/>
    <w:rsid w:val="00115540"/>
    <w:rsid w:val="00122160"/>
    <w:rsid w:val="00123FE6"/>
    <w:rsid w:val="00125E89"/>
    <w:rsid w:val="00126568"/>
    <w:rsid w:val="0013118E"/>
    <w:rsid w:val="00131A02"/>
    <w:rsid w:val="001336B0"/>
    <w:rsid w:val="001358B2"/>
    <w:rsid w:val="00137AED"/>
    <w:rsid w:val="00137D8E"/>
    <w:rsid w:val="00140FF5"/>
    <w:rsid w:val="00143F72"/>
    <w:rsid w:val="00145F22"/>
    <w:rsid w:val="001533F9"/>
    <w:rsid w:val="00155346"/>
    <w:rsid w:val="0016434C"/>
    <w:rsid w:val="00174158"/>
    <w:rsid w:val="0017492F"/>
    <w:rsid w:val="00180863"/>
    <w:rsid w:val="001846A1"/>
    <w:rsid w:val="00185A26"/>
    <w:rsid w:val="00187E0A"/>
    <w:rsid w:val="00192E02"/>
    <w:rsid w:val="0019545C"/>
    <w:rsid w:val="001959FD"/>
    <w:rsid w:val="0019622D"/>
    <w:rsid w:val="001A0747"/>
    <w:rsid w:val="001A73FF"/>
    <w:rsid w:val="001B0677"/>
    <w:rsid w:val="001B06DE"/>
    <w:rsid w:val="001B4024"/>
    <w:rsid w:val="001B4B4D"/>
    <w:rsid w:val="001B4FF4"/>
    <w:rsid w:val="001B567E"/>
    <w:rsid w:val="001C1BBB"/>
    <w:rsid w:val="001C28AF"/>
    <w:rsid w:val="001C6934"/>
    <w:rsid w:val="001C7765"/>
    <w:rsid w:val="001D0DBC"/>
    <w:rsid w:val="001D6496"/>
    <w:rsid w:val="001D7E82"/>
    <w:rsid w:val="001E18A8"/>
    <w:rsid w:val="001E6D13"/>
    <w:rsid w:val="001E6D27"/>
    <w:rsid w:val="001E7EEE"/>
    <w:rsid w:val="001F7800"/>
    <w:rsid w:val="002121E4"/>
    <w:rsid w:val="00216C76"/>
    <w:rsid w:val="002225E6"/>
    <w:rsid w:val="002254D7"/>
    <w:rsid w:val="00237021"/>
    <w:rsid w:val="00243842"/>
    <w:rsid w:val="00245218"/>
    <w:rsid w:val="002458B9"/>
    <w:rsid w:val="002473EF"/>
    <w:rsid w:val="002537B6"/>
    <w:rsid w:val="002602CB"/>
    <w:rsid w:val="0027044F"/>
    <w:rsid w:val="002735C4"/>
    <w:rsid w:val="002745E6"/>
    <w:rsid w:val="00276EBC"/>
    <w:rsid w:val="002834A7"/>
    <w:rsid w:val="002854ED"/>
    <w:rsid w:val="002866E6"/>
    <w:rsid w:val="00294935"/>
    <w:rsid w:val="00296152"/>
    <w:rsid w:val="00296D90"/>
    <w:rsid w:val="002970B6"/>
    <w:rsid w:val="002A4DA6"/>
    <w:rsid w:val="002A54F6"/>
    <w:rsid w:val="002A718A"/>
    <w:rsid w:val="002B3990"/>
    <w:rsid w:val="002B7824"/>
    <w:rsid w:val="002C12DE"/>
    <w:rsid w:val="002C26B8"/>
    <w:rsid w:val="002C5F31"/>
    <w:rsid w:val="002D0AC8"/>
    <w:rsid w:val="002D1C1D"/>
    <w:rsid w:val="002D3C60"/>
    <w:rsid w:val="002D5082"/>
    <w:rsid w:val="002D7E63"/>
    <w:rsid w:val="002E112F"/>
    <w:rsid w:val="002E60BB"/>
    <w:rsid w:val="002F34D6"/>
    <w:rsid w:val="002F5533"/>
    <w:rsid w:val="003002FA"/>
    <w:rsid w:val="003052FE"/>
    <w:rsid w:val="0031523C"/>
    <w:rsid w:val="003155BC"/>
    <w:rsid w:val="003201E8"/>
    <w:rsid w:val="00323688"/>
    <w:rsid w:val="00326064"/>
    <w:rsid w:val="003262F1"/>
    <w:rsid w:val="00327868"/>
    <w:rsid w:val="00332721"/>
    <w:rsid w:val="0033460D"/>
    <w:rsid w:val="00341F4F"/>
    <w:rsid w:val="00342B55"/>
    <w:rsid w:val="00346A50"/>
    <w:rsid w:val="003547F4"/>
    <w:rsid w:val="003560BC"/>
    <w:rsid w:val="00361873"/>
    <w:rsid w:val="00365FAD"/>
    <w:rsid w:val="00372A29"/>
    <w:rsid w:val="00372FEB"/>
    <w:rsid w:val="00374D74"/>
    <w:rsid w:val="003753AC"/>
    <w:rsid w:val="0038170E"/>
    <w:rsid w:val="00386DBE"/>
    <w:rsid w:val="00392A17"/>
    <w:rsid w:val="003A1BD7"/>
    <w:rsid w:val="003B471B"/>
    <w:rsid w:val="003C21F3"/>
    <w:rsid w:val="003C3013"/>
    <w:rsid w:val="003C38A2"/>
    <w:rsid w:val="003C662C"/>
    <w:rsid w:val="003C7ED2"/>
    <w:rsid w:val="003D0DA6"/>
    <w:rsid w:val="003D1ADD"/>
    <w:rsid w:val="003D2C49"/>
    <w:rsid w:val="003D388F"/>
    <w:rsid w:val="003D75E2"/>
    <w:rsid w:val="003E0733"/>
    <w:rsid w:val="003E0919"/>
    <w:rsid w:val="003F4BD6"/>
    <w:rsid w:val="003F543C"/>
    <w:rsid w:val="004002EE"/>
    <w:rsid w:val="00401FE5"/>
    <w:rsid w:val="00402E7C"/>
    <w:rsid w:val="00403A93"/>
    <w:rsid w:val="00403E5E"/>
    <w:rsid w:val="0040734A"/>
    <w:rsid w:val="004165E3"/>
    <w:rsid w:val="00416A79"/>
    <w:rsid w:val="0042009F"/>
    <w:rsid w:val="00421CC3"/>
    <w:rsid w:val="00422CD1"/>
    <w:rsid w:val="004331E0"/>
    <w:rsid w:val="00436379"/>
    <w:rsid w:val="004367FB"/>
    <w:rsid w:val="004401B8"/>
    <w:rsid w:val="00443E82"/>
    <w:rsid w:val="004501DC"/>
    <w:rsid w:val="00453EE6"/>
    <w:rsid w:val="00466C73"/>
    <w:rsid w:val="00477DA8"/>
    <w:rsid w:val="0048219D"/>
    <w:rsid w:val="00485234"/>
    <w:rsid w:val="004951B6"/>
    <w:rsid w:val="00497C6F"/>
    <w:rsid w:val="004A0293"/>
    <w:rsid w:val="004A3B8D"/>
    <w:rsid w:val="004A56D2"/>
    <w:rsid w:val="004A5903"/>
    <w:rsid w:val="004A6BD9"/>
    <w:rsid w:val="004B4E9D"/>
    <w:rsid w:val="004B6B8F"/>
    <w:rsid w:val="004B785F"/>
    <w:rsid w:val="004C0A74"/>
    <w:rsid w:val="004D4F65"/>
    <w:rsid w:val="004D5BE6"/>
    <w:rsid w:val="004E56FE"/>
    <w:rsid w:val="004F03AA"/>
    <w:rsid w:val="004F271E"/>
    <w:rsid w:val="004F4978"/>
    <w:rsid w:val="0050118D"/>
    <w:rsid w:val="005022BD"/>
    <w:rsid w:val="00503684"/>
    <w:rsid w:val="005044C5"/>
    <w:rsid w:val="00516345"/>
    <w:rsid w:val="00516AF4"/>
    <w:rsid w:val="005233D0"/>
    <w:rsid w:val="00526420"/>
    <w:rsid w:val="005265C0"/>
    <w:rsid w:val="00530226"/>
    <w:rsid w:val="00540568"/>
    <w:rsid w:val="00540644"/>
    <w:rsid w:val="00543454"/>
    <w:rsid w:val="005438F2"/>
    <w:rsid w:val="00544E56"/>
    <w:rsid w:val="00546084"/>
    <w:rsid w:val="00553EC1"/>
    <w:rsid w:val="005544EC"/>
    <w:rsid w:val="00554925"/>
    <w:rsid w:val="00560AF7"/>
    <w:rsid w:val="00562673"/>
    <w:rsid w:val="00563F15"/>
    <w:rsid w:val="00565ABB"/>
    <w:rsid w:val="0057270B"/>
    <w:rsid w:val="00575631"/>
    <w:rsid w:val="00577B53"/>
    <w:rsid w:val="0058341A"/>
    <w:rsid w:val="00587248"/>
    <w:rsid w:val="00590FF1"/>
    <w:rsid w:val="0059109E"/>
    <w:rsid w:val="005966D7"/>
    <w:rsid w:val="00597E92"/>
    <w:rsid w:val="005A1B0C"/>
    <w:rsid w:val="005A463C"/>
    <w:rsid w:val="005A66E4"/>
    <w:rsid w:val="005B07CD"/>
    <w:rsid w:val="005B278C"/>
    <w:rsid w:val="005B5AEB"/>
    <w:rsid w:val="005B76FE"/>
    <w:rsid w:val="005C17FC"/>
    <w:rsid w:val="005C2F49"/>
    <w:rsid w:val="005C4992"/>
    <w:rsid w:val="005C62B2"/>
    <w:rsid w:val="005D0C80"/>
    <w:rsid w:val="005E2DAB"/>
    <w:rsid w:val="005E32A4"/>
    <w:rsid w:val="005E424D"/>
    <w:rsid w:val="005E7546"/>
    <w:rsid w:val="005F3D72"/>
    <w:rsid w:val="00601206"/>
    <w:rsid w:val="0060132E"/>
    <w:rsid w:val="006016CE"/>
    <w:rsid w:val="00606556"/>
    <w:rsid w:val="00612858"/>
    <w:rsid w:val="0061472A"/>
    <w:rsid w:val="006169A3"/>
    <w:rsid w:val="00625989"/>
    <w:rsid w:val="0063050A"/>
    <w:rsid w:val="00631A0E"/>
    <w:rsid w:val="00642AEB"/>
    <w:rsid w:val="00642D04"/>
    <w:rsid w:val="0064347B"/>
    <w:rsid w:val="00662CA2"/>
    <w:rsid w:val="00671016"/>
    <w:rsid w:val="00671EC7"/>
    <w:rsid w:val="006725A7"/>
    <w:rsid w:val="006754DE"/>
    <w:rsid w:val="00677654"/>
    <w:rsid w:val="00682CE8"/>
    <w:rsid w:val="006856ED"/>
    <w:rsid w:val="00685D6F"/>
    <w:rsid w:val="00686E3F"/>
    <w:rsid w:val="0069701B"/>
    <w:rsid w:val="0069783B"/>
    <w:rsid w:val="006B1235"/>
    <w:rsid w:val="006B19F0"/>
    <w:rsid w:val="006B24F8"/>
    <w:rsid w:val="006B4707"/>
    <w:rsid w:val="006B7A89"/>
    <w:rsid w:val="006C56EB"/>
    <w:rsid w:val="006E03CE"/>
    <w:rsid w:val="006E4D44"/>
    <w:rsid w:val="006E6036"/>
    <w:rsid w:val="0070045F"/>
    <w:rsid w:val="00700601"/>
    <w:rsid w:val="007018AC"/>
    <w:rsid w:val="00727EB5"/>
    <w:rsid w:val="00732D0E"/>
    <w:rsid w:val="00733811"/>
    <w:rsid w:val="0073662F"/>
    <w:rsid w:val="007366BD"/>
    <w:rsid w:val="00737812"/>
    <w:rsid w:val="0074408E"/>
    <w:rsid w:val="007454BE"/>
    <w:rsid w:val="00747580"/>
    <w:rsid w:val="00754C13"/>
    <w:rsid w:val="007647A2"/>
    <w:rsid w:val="00786C7B"/>
    <w:rsid w:val="00786EE2"/>
    <w:rsid w:val="00791D8A"/>
    <w:rsid w:val="00796365"/>
    <w:rsid w:val="007A10CF"/>
    <w:rsid w:val="007A1AA7"/>
    <w:rsid w:val="007A2BA4"/>
    <w:rsid w:val="007A365C"/>
    <w:rsid w:val="007A782D"/>
    <w:rsid w:val="007B30CA"/>
    <w:rsid w:val="007C0A86"/>
    <w:rsid w:val="007C39F8"/>
    <w:rsid w:val="007C3DBD"/>
    <w:rsid w:val="007C5040"/>
    <w:rsid w:val="007C55EC"/>
    <w:rsid w:val="007C63F4"/>
    <w:rsid w:val="007D03F2"/>
    <w:rsid w:val="007D5395"/>
    <w:rsid w:val="007D7D89"/>
    <w:rsid w:val="007E2DBC"/>
    <w:rsid w:val="007F24AB"/>
    <w:rsid w:val="008030BE"/>
    <w:rsid w:val="008036AE"/>
    <w:rsid w:val="008137A3"/>
    <w:rsid w:val="00825B41"/>
    <w:rsid w:val="00827F38"/>
    <w:rsid w:val="008330E1"/>
    <w:rsid w:val="00833413"/>
    <w:rsid w:val="00836141"/>
    <w:rsid w:val="00837182"/>
    <w:rsid w:val="00841873"/>
    <w:rsid w:val="008512A1"/>
    <w:rsid w:val="00852A7D"/>
    <w:rsid w:val="00854D7F"/>
    <w:rsid w:val="00854F74"/>
    <w:rsid w:val="00856F81"/>
    <w:rsid w:val="0087193D"/>
    <w:rsid w:val="0087235F"/>
    <w:rsid w:val="00880B24"/>
    <w:rsid w:val="0088247F"/>
    <w:rsid w:val="0088306E"/>
    <w:rsid w:val="008859E5"/>
    <w:rsid w:val="00886BF4"/>
    <w:rsid w:val="00890649"/>
    <w:rsid w:val="00894B6C"/>
    <w:rsid w:val="008A1179"/>
    <w:rsid w:val="008A1A13"/>
    <w:rsid w:val="008A1BAB"/>
    <w:rsid w:val="008A53EC"/>
    <w:rsid w:val="008B103D"/>
    <w:rsid w:val="008B3304"/>
    <w:rsid w:val="008C591E"/>
    <w:rsid w:val="008D2E0E"/>
    <w:rsid w:val="008E504C"/>
    <w:rsid w:val="008F1A29"/>
    <w:rsid w:val="008F2C37"/>
    <w:rsid w:val="008F7E49"/>
    <w:rsid w:val="00901796"/>
    <w:rsid w:val="00911A43"/>
    <w:rsid w:val="00917832"/>
    <w:rsid w:val="00927A3D"/>
    <w:rsid w:val="009329EC"/>
    <w:rsid w:val="00934CB4"/>
    <w:rsid w:val="009355E6"/>
    <w:rsid w:val="009408DC"/>
    <w:rsid w:val="00941487"/>
    <w:rsid w:val="00944649"/>
    <w:rsid w:val="00946DD3"/>
    <w:rsid w:val="00953AA5"/>
    <w:rsid w:val="00955131"/>
    <w:rsid w:val="009558A9"/>
    <w:rsid w:val="0096164D"/>
    <w:rsid w:val="00966649"/>
    <w:rsid w:val="0097236C"/>
    <w:rsid w:val="009756BC"/>
    <w:rsid w:val="00982B0F"/>
    <w:rsid w:val="0098364F"/>
    <w:rsid w:val="00984682"/>
    <w:rsid w:val="00985DAF"/>
    <w:rsid w:val="00987540"/>
    <w:rsid w:val="009A4974"/>
    <w:rsid w:val="009B1A28"/>
    <w:rsid w:val="009B6E69"/>
    <w:rsid w:val="009C3E7F"/>
    <w:rsid w:val="009C4B54"/>
    <w:rsid w:val="009D1D17"/>
    <w:rsid w:val="009D35D5"/>
    <w:rsid w:val="009D5F40"/>
    <w:rsid w:val="009D69AB"/>
    <w:rsid w:val="009D771F"/>
    <w:rsid w:val="009E05B4"/>
    <w:rsid w:val="009E0D07"/>
    <w:rsid w:val="009E406A"/>
    <w:rsid w:val="009E427F"/>
    <w:rsid w:val="009E5408"/>
    <w:rsid w:val="009E5C5E"/>
    <w:rsid w:val="009E5FBE"/>
    <w:rsid w:val="009E74A6"/>
    <w:rsid w:val="009F4861"/>
    <w:rsid w:val="009F4E3E"/>
    <w:rsid w:val="009F74A9"/>
    <w:rsid w:val="00A012E8"/>
    <w:rsid w:val="00A01A60"/>
    <w:rsid w:val="00A02975"/>
    <w:rsid w:val="00A04146"/>
    <w:rsid w:val="00A1205D"/>
    <w:rsid w:val="00A13987"/>
    <w:rsid w:val="00A1743E"/>
    <w:rsid w:val="00A17D9B"/>
    <w:rsid w:val="00A200DA"/>
    <w:rsid w:val="00A248D8"/>
    <w:rsid w:val="00A33101"/>
    <w:rsid w:val="00A339B0"/>
    <w:rsid w:val="00A37F02"/>
    <w:rsid w:val="00A42A90"/>
    <w:rsid w:val="00A45223"/>
    <w:rsid w:val="00A45C8A"/>
    <w:rsid w:val="00A514E9"/>
    <w:rsid w:val="00A522FC"/>
    <w:rsid w:val="00A52B7F"/>
    <w:rsid w:val="00A57AA5"/>
    <w:rsid w:val="00A61E99"/>
    <w:rsid w:val="00A633F0"/>
    <w:rsid w:val="00A65A81"/>
    <w:rsid w:val="00A66470"/>
    <w:rsid w:val="00A676C1"/>
    <w:rsid w:val="00A731CC"/>
    <w:rsid w:val="00A75847"/>
    <w:rsid w:val="00A75941"/>
    <w:rsid w:val="00A7659C"/>
    <w:rsid w:val="00A768FC"/>
    <w:rsid w:val="00A8258F"/>
    <w:rsid w:val="00A85671"/>
    <w:rsid w:val="00A877EE"/>
    <w:rsid w:val="00A93817"/>
    <w:rsid w:val="00A976DE"/>
    <w:rsid w:val="00AA2C0F"/>
    <w:rsid w:val="00AB018D"/>
    <w:rsid w:val="00AB1659"/>
    <w:rsid w:val="00AB5BF0"/>
    <w:rsid w:val="00AC0722"/>
    <w:rsid w:val="00AC1BEE"/>
    <w:rsid w:val="00AC7FE6"/>
    <w:rsid w:val="00AD0A98"/>
    <w:rsid w:val="00AD13D9"/>
    <w:rsid w:val="00AD64A8"/>
    <w:rsid w:val="00AE2E7F"/>
    <w:rsid w:val="00AF1517"/>
    <w:rsid w:val="00AF1F99"/>
    <w:rsid w:val="00AF27F9"/>
    <w:rsid w:val="00AF3265"/>
    <w:rsid w:val="00AF468B"/>
    <w:rsid w:val="00AF4B2B"/>
    <w:rsid w:val="00B01C4F"/>
    <w:rsid w:val="00B039F2"/>
    <w:rsid w:val="00B050A5"/>
    <w:rsid w:val="00B13583"/>
    <w:rsid w:val="00B13C9A"/>
    <w:rsid w:val="00B142D9"/>
    <w:rsid w:val="00B15467"/>
    <w:rsid w:val="00B271C5"/>
    <w:rsid w:val="00B321D5"/>
    <w:rsid w:val="00B32FCD"/>
    <w:rsid w:val="00B34ED1"/>
    <w:rsid w:val="00B35681"/>
    <w:rsid w:val="00B40691"/>
    <w:rsid w:val="00B45169"/>
    <w:rsid w:val="00B472B3"/>
    <w:rsid w:val="00B51E5B"/>
    <w:rsid w:val="00B54527"/>
    <w:rsid w:val="00B5569B"/>
    <w:rsid w:val="00B64DA6"/>
    <w:rsid w:val="00B654A6"/>
    <w:rsid w:val="00B669FF"/>
    <w:rsid w:val="00B703AE"/>
    <w:rsid w:val="00B71341"/>
    <w:rsid w:val="00B763BF"/>
    <w:rsid w:val="00B86B2F"/>
    <w:rsid w:val="00B96C4A"/>
    <w:rsid w:val="00BA102F"/>
    <w:rsid w:val="00BA4387"/>
    <w:rsid w:val="00BA5CE5"/>
    <w:rsid w:val="00BA7AB6"/>
    <w:rsid w:val="00BB6026"/>
    <w:rsid w:val="00BB6726"/>
    <w:rsid w:val="00BB7CF0"/>
    <w:rsid w:val="00BC1B4A"/>
    <w:rsid w:val="00BC4165"/>
    <w:rsid w:val="00BC471C"/>
    <w:rsid w:val="00BD42C6"/>
    <w:rsid w:val="00BE2475"/>
    <w:rsid w:val="00BE5D7A"/>
    <w:rsid w:val="00BE69CA"/>
    <w:rsid w:val="00BF28E6"/>
    <w:rsid w:val="00BF2E3B"/>
    <w:rsid w:val="00BF5B9F"/>
    <w:rsid w:val="00BF6813"/>
    <w:rsid w:val="00BF692A"/>
    <w:rsid w:val="00C01204"/>
    <w:rsid w:val="00C069D7"/>
    <w:rsid w:val="00C07042"/>
    <w:rsid w:val="00C079EA"/>
    <w:rsid w:val="00C10A0B"/>
    <w:rsid w:val="00C1369A"/>
    <w:rsid w:val="00C1477A"/>
    <w:rsid w:val="00C21836"/>
    <w:rsid w:val="00C26389"/>
    <w:rsid w:val="00C27119"/>
    <w:rsid w:val="00C4192A"/>
    <w:rsid w:val="00C504AC"/>
    <w:rsid w:val="00C52EF6"/>
    <w:rsid w:val="00C57BAD"/>
    <w:rsid w:val="00C60601"/>
    <w:rsid w:val="00C71DEA"/>
    <w:rsid w:val="00C731BB"/>
    <w:rsid w:val="00C734A2"/>
    <w:rsid w:val="00C772D1"/>
    <w:rsid w:val="00C80399"/>
    <w:rsid w:val="00C94215"/>
    <w:rsid w:val="00CA165C"/>
    <w:rsid w:val="00CA2DFC"/>
    <w:rsid w:val="00CA31F6"/>
    <w:rsid w:val="00CA3361"/>
    <w:rsid w:val="00CA496A"/>
    <w:rsid w:val="00CB400E"/>
    <w:rsid w:val="00CB5390"/>
    <w:rsid w:val="00CB5F61"/>
    <w:rsid w:val="00CC0C24"/>
    <w:rsid w:val="00CC2B68"/>
    <w:rsid w:val="00CC5A24"/>
    <w:rsid w:val="00CD0B5F"/>
    <w:rsid w:val="00CD1E3E"/>
    <w:rsid w:val="00CD2921"/>
    <w:rsid w:val="00CD2A6A"/>
    <w:rsid w:val="00CE3CFF"/>
    <w:rsid w:val="00CE6EE3"/>
    <w:rsid w:val="00CE71C6"/>
    <w:rsid w:val="00CF3388"/>
    <w:rsid w:val="00CF57A5"/>
    <w:rsid w:val="00CF6C9E"/>
    <w:rsid w:val="00D04819"/>
    <w:rsid w:val="00D11079"/>
    <w:rsid w:val="00D30B4C"/>
    <w:rsid w:val="00D342CD"/>
    <w:rsid w:val="00D34E34"/>
    <w:rsid w:val="00D451D1"/>
    <w:rsid w:val="00D60280"/>
    <w:rsid w:val="00D616FD"/>
    <w:rsid w:val="00D62999"/>
    <w:rsid w:val="00D67392"/>
    <w:rsid w:val="00D718D2"/>
    <w:rsid w:val="00D85301"/>
    <w:rsid w:val="00D9281C"/>
    <w:rsid w:val="00D92AC6"/>
    <w:rsid w:val="00D96459"/>
    <w:rsid w:val="00DA48E8"/>
    <w:rsid w:val="00DB3864"/>
    <w:rsid w:val="00DB6642"/>
    <w:rsid w:val="00DC10DB"/>
    <w:rsid w:val="00DC46BE"/>
    <w:rsid w:val="00DD273D"/>
    <w:rsid w:val="00DD2EBA"/>
    <w:rsid w:val="00DD619F"/>
    <w:rsid w:val="00DE00AF"/>
    <w:rsid w:val="00DE1148"/>
    <w:rsid w:val="00DE7CD9"/>
    <w:rsid w:val="00DF14F6"/>
    <w:rsid w:val="00DF250D"/>
    <w:rsid w:val="00E02D0A"/>
    <w:rsid w:val="00E03A01"/>
    <w:rsid w:val="00E03C24"/>
    <w:rsid w:val="00E05B85"/>
    <w:rsid w:val="00E0673D"/>
    <w:rsid w:val="00E152CC"/>
    <w:rsid w:val="00E2259B"/>
    <w:rsid w:val="00E2377E"/>
    <w:rsid w:val="00E25A38"/>
    <w:rsid w:val="00E25DC3"/>
    <w:rsid w:val="00E279B2"/>
    <w:rsid w:val="00E30809"/>
    <w:rsid w:val="00E36965"/>
    <w:rsid w:val="00E41541"/>
    <w:rsid w:val="00E43AB1"/>
    <w:rsid w:val="00E43D57"/>
    <w:rsid w:val="00E53A5E"/>
    <w:rsid w:val="00E53BA5"/>
    <w:rsid w:val="00E550FB"/>
    <w:rsid w:val="00E5590E"/>
    <w:rsid w:val="00E56BAD"/>
    <w:rsid w:val="00E6511A"/>
    <w:rsid w:val="00E66881"/>
    <w:rsid w:val="00E746B5"/>
    <w:rsid w:val="00E766D3"/>
    <w:rsid w:val="00E77C4D"/>
    <w:rsid w:val="00E8122D"/>
    <w:rsid w:val="00E869AA"/>
    <w:rsid w:val="00E906DD"/>
    <w:rsid w:val="00E937E9"/>
    <w:rsid w:val="00E95BB9"/>
    <w:rsid w:val="00EA6508"/>
    <w:rsid w:val="00EB7047"/>
    <w:rsid w:val="00EC11AA"/>
    <w:rsid w:val="00EC42FC"/>
    <w:rsid w:val="00EC469A"/>
    <w:rsid w:val="00EC72E3"/>
    <w:rsid w:val="00EC7730"/>
    <w:rsid w:val="00ED4D72"/>
    <w:rsid w:val="00EE7EF6"/>
    <w:rsid w:val="00EF0657"/>
    <w:rsid w:val="00EF1E7F"/>
    <w:rsid w:val="00EF6BBF"/>
    <w:rsid w:val="00F1048A"/>
    <w:rsid w:val="00F1390F"/>
    <w:rsid w:val="00F147B7"/>
    <w:rsid w:val="00F1581F"/>
    <w:rsid w:val="00F210CC"/>
    <w:rsid w:val="00F21A9E"/>
    <w:rsid w:val="00F229DB"/>
    <w:rsid w:val="00F33D43"/>
    <w:rsid w:val="00F41B59"/>
    <w:rsid w:val="00F43BF2"/>
    <w:rsid w:val="00F47268"/>
    <w:rsid w:val="00F52AF5"/>
    <w:rsid w:val="00F5413C"/>
    <w:rsid w:val="00F55340"/>
    <w:rsid w:val="00F57BB3"/>
    <w:rsid w:val="00F603F5"/>
    <w:rsid w:val="00F62BE8"/>
    <w:rsid w:val="00F70442"/>
    <w:rsid w:val="00F72605"/>
    <w:rsid w:val="00F7387C"/>
    <w:rsid w:val="00F73F57"/>
    <w:rsid w:val="00F8239B"/>
    <w:rsid w:val="00F87A7F"/>
    <w:rsid w:val="00F94D30"/>
    <w:rsid w:val="00FA16A7"/>
    <w:rsid w:val="00FA2BA4"/>
    <w:rsid w:val="00FB35B4"/>
    <w:rsid w:val="00FB36C5"/>
    <w:rsid w:val="00FC5929"/>
    <w:rsid w:val="00FD6ECE"/>
    <w:rsid w:val="00FE6CA1"/>
    <w:rsid w:val="00FF0710"/>
    <w:rsid w:val="00FF5F28"/>
    <w:rsid w:val="01731D2A"/>
    <w:rsid w:val="04502D57"/>
    <w:rsid w:val="062D6790"/>
    <w:rsid w:val="0CC827E6"/>
    <w:rsid w:val="0CF87718"/>
    <w:rsid w:val="0E0049F4"/>
    <w:rsid w:val="0F062D3A"/>
    <w:rsid w:val="10205400"/>
    <w:rsid w:val="10211746"/>
    <w:rsid w:val="10FB3A8B"/>
    <w:rsid w:val="1160477E"/>
    <w:rsid w:val="11BF1134"/>
    <w:rsid w:val="12553721"/>
    <w:rsid w:val="140A55F2"/>
    <w:rsid w:val="14BA2084"/>
    <w:rsid w:val="15173065"/>
    <w:rsid w:val="169C7949"/>
    <w:rsid w:val="19EC08AA"/>
    <w:rsid w:val="1AEC2E29"/>
    <w:rsid w:val="1C6A5DE9"/>
    <w:rsid w:val="1EE73BBE"/>
    <w:rsid w:val="217F4C43"/>
    <w:rsid w:val="23676091"/>
    <w:rsid w:val="24391DF8"/>
    <w:rsid w:val="26DA5E42"/>
    <w:rsid w:val="27252565"/>
    <w:rsid w:val="2842025E"/>
    <w:rsid w:val="295465BB"/>
    <w:rsid w:val="2C123537"/>
    <w:rsid w:val="2D467922"/>
    <w:rsid w:val="2F7507B2"/>
    <w:rsid w:val="2F8D7DA6"/>
    <w:rsid w:val="301A24F9"/>
    <w:rsid w:val="30E94AB0"/>
    <w:rsid w:val="32752BF1"/>
    <w:rsid w:val="34756F27"/>
    <w:rsid w:val="35C6453F"/>
    <w:rsid w:val="378F1414"/>
    <w:rsid w:val="391E0A2C"/>
    <w:rsid w:val="3A3A4A44"/>
    <w:rsid w:val="3B9D2E70"/>
    <w:rsid w:val="3C226850"/>
    <w:rsid w:val="3D732D1B"/>
    <w:rsid w:val="3E48526D"/>
    <w:rsid w:val="3EEA36C4"/>
    <w:rsid w:val="448E4F1F"/>
    <w:rsid w:val="44B14A2A"/>
    <w:rsid w:val="44B24063"/>
    <w:rsid w:val="46B624ED"/>
    <w:rsid w:val="46DF27AF"/>
    <w:rsid w:val="47175637"/>
    <w:rsid w:val="47F70D7D"/>
    <w:rsid w:val="48EA0217"/>
    <w:rsid w:val="49AB79FD"/>
    <w:rsid w:val="49FD2850"/>
    <w:rsid w:val="4AB3708A"/>
    <w:rsid w:val="4D5C0900"/>
    <w:rsid w:val="4DF31907"/>
    <w:rsid w:val="4EAE4C5C"/>
    <w:rsid w:val="4EE87976"/>
    <w:rsid w:val="4F26243D"/>
    <w:rsid w:val="55331544"/>
    <w:rsid w:val="599A46A7"/>
    <w:rsid w:val="5A7A0B3D"/>
    <w:rsid w:val="5B9222A2"/>
    <w:rsid w:val="5DAE47D6"/>
    <w:rsid w:val="60F47D54"/>
    <w:rsid w:val="61EF156D"/>
    <w:rsid w:val="62B33717"/>
    <w:rsid w:val="62D52E81"/>
    <w:rsid w:val="653D2126"/>
    <w:rsid w:val="65A65621"/>
    <w:rsid w:val="665B3476"/>
    <w:rsid w:val="66BA3D44"/>
    <w:rsid w:val="69072B86"/>
    <w:rsid w:val="739E5BDD"/>
    <w:rsid w:val="77DA0EF2"/>
    <w:rsid w:val="78F22D59"/>
    <w:rsid w:val="79A74CD2"/>
    <w:rsid w:val="7A5E76E9"/>
    <w:rsid w:val="7B1D4905"/>
    <w:rsid w:val="7C3572E6"/>
    <w:rsid w:val="7CA40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qFormat="1"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kern w:val="2"/>
      <w:sz w:val="21"/>
      <w:szCs w:val="22"/>
      <w:lang w:val="en-US" w:eastAsia="zh-CN" w:bidi="ar-SA"/>
    </w:rPr>
  </w:style>
  <w:style w:type="paragraph" w:styleId="3">
    <w:name w:val="heading 1"/>
    <w:next w:val="1"/>
    <w:link w:val="25"/>
    <w:qFormat/>
    <w:uiPriority w:val="9"/>
    <w:pPr>
      <w:keepNext/>
      <w:keepLines/>
      <w:spacing w:before="50" w:beforeLines="50" w:after="50" w:afterLines="50" w:line="360" w:lineRule="auto"/>
      <w:outlineLvl w:val="0"/>
    </w:pPr>
    <w:rPr>
      <w:rFonts w:ascii="等线" w:hAnsi="等线" w:eastAsia="宋体" w:cs="Times New Roman"/>
      <w:b/>
      <w:bCs/>
      <w:kern w:val="44"/>
      <w:sz w:val="36"/>
      <w:szCs w:val="44"/>
      <w:lang w:val="en-US" w:eastAsia="zh-CN" w:bidi="ar-SA"/>
    </w:rPr>
  </w:style>
  <w:style w:type="paragraph" w:styleId="4">
    <w:name w:val="heading 2"/>
    <w:basedOn w:val="1"/>
    <w:next w:val="1"/>
    <w:link w:val="26"/>
    <w:qFormat/>
    <w:uiPriority w:val="9"/>
    <w:pPr>
      <w:keepNext/>
      <w:keepLines/>
      <w:spacing w:before="260" w:after="260" w:line="416" w:lineRule="auto"/>
      <w:outlineLvl w:val="1"/>
    </w:pPr>
    <w:rPr>
      <w:rFonts w:ascii="Cambria" w:hAnsi="Cambria"/>
      <w:b/>
      <w:bCs/>
      <w:sz w:val="32"/>
      <w:szCs w:val="32"/>
    </w:rPr>
  </w:style>
  <w:style w:type="paragraph" w:styleId="5">
    <w:name w:val="heading 3"/>
    <w:next w:val="1"/>
    <w:link w:val="27"/>
    <w:qFormat/>
    <w:uiPriority w:val="9"/>
    <w:pPr>
      <w:keepNext/>
      <w:keepLines/>
      <w:spacing w:before="50" w:beforeLines="50" w:after="50" w:afterLines="50" w:line="360" w:lineRule="auto"/>
      <w:outlineLvl w:val="2"/>
    </w:pPr>
    <w:rPr>
      <w:rFonts w:ascii="等线" w:hAnsi="等线" w:eastAsia="宋体" w:cs="Times New Roman"/>
      <w:b/>
      <w:bCs/>
      <w:kern w:val="2"/>
      <w:sz w:val="28"/>
      <w:szCs w:val="32"/>
      <w:lang w:val="en-US" w:eastAsia="zh-CN" w:bidi="ar-SA"/>
    </w:rPr>
  </w:style>
  <w:style w:type="paragraph" w:styleId="6">
    <w:name w:val="heading 4"/>
    <w:basedOn w:val="1"/>
    <w:next w:val="1"/>
    <w:link w:val="28"/>
    <w:qFormat/>
    <w:uiPriority w:val="9"/>
    <w:pPr>
      <w:keepNext/>
      <w:keepLines/>
      <w:spacing w:before="280" w:after="290" w:line="376" w:lineRule="auto"/>
      <w:outlineLvl w:val="3"/>
    </w:pPr>
    <w:rPr>
      <w:rFonts w:ascii="Cambria" w:hAnsi="Cambria"/>
      <w:b/>
      <w:bCs/>
      <w:sz w:val="28"/>
      <w:szCs w:val="28"/>
    </w:rPr>
  </w:style>
  <w:style w:type="character" w:default="1" w:styleId="15">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line="360" w:lineRule="auto"/>
    </w:pPr>
    <w:rPr>
      <w:rFonts w:cs="Times New Roman"/>
      <w:sz w:val="24"/>
    </w:rPr>
  </w:style>
  <w:style w:type="paragraph" w:styleId="7">
    <w:name w:val="annotation subject"/>
    <w:basedOn w:val="8"/>
    <w:next w:val="8"/>
    <w:link w:val="34"/>
    <w:unhideWhenUsed/>
    <w:qFormat/>
    <w:uiPriority w:val="99"/>
    <w:rPr>
      <w:b/>
      <w:bCs/>
    </w:rPr>
  </w:style>
  <w:style w:type="paragraph" w:styleId="8">
    <w:name w:val="annotation text"/>
    <w:basedOn w:val="1"/>
    <w:link w:val="29"/>
    <w:unhideWhenUsed/>
    <w:qFormat/>
    <w:uiPriority w:val="99"/>
    <w:pPr>
      <w:jc w:val="left"/>
    </w:pPr>
  </w:style>
  <w:style w:type="paragraph" w:styleId="9">
    <w:name w:val="Body Text Indent 2"/>
    <w:basedOn w:val="1"/>
    <w:next w:val="1"/>
    <w:unhideWhenUsed/>
    <w:qFormat/>
    <w:uiPriority w:val="99"/>
    <w:pPr>
      <w:spacing w:beforeLines="50" w:afterLines="50" w:line="120" w:lineRule="auto"/>
      <w:ind w:firstLine="840" w:firstLineChars="400"/>
      <w:jc w:val="left"/>
    </w:pPr>
    <w:rPr>
      <w:rFonts w:hAnsi="宋体"/>
    </w:rPr>
  </w:style>
  <w:style w:type="paragraph" w:styleId="10">
    <w:name w:val="endnote text"/>
    <w:basedOn w:val="1"/>
    <w:link w:val="30"/>
    <w:unhideWhenUsed/>
    <w:qFormat/>
    <w:uiPriority w:val="99"/>
    <w:pPr>
      <w:snapToGrid w:val="0"/>
      <w:jc w:val="left"/>
    </w:pPr>
  </w:style>
  <w:style w:type="paragraph" w:styleId="11">
    <w:name w:val="Balloon Text"/>
    <w:basedOn w:val="1"/>
    <w:link w:val="31"/>
    <w:unhideWhenUsed/>
    <w:qFormat/>
    <w:uiPriority w:val="99"/>
    <w:rPr>
      <w:sz w:val="18"/>
      <w:szCs w:val="18"/>
    </w:rPr>
  </w:style>
  <w:style w:type="paragraph" w:styleId="12">
    <w:name w:val="footer"/>
    <w:basedOn w:val="1"/>
    <w:link w:val="32"/>
    <w:unhideWhenUsed/>
    <w:qFormat/>
    <w:uiPriority w:val="99"/>
    <w:pPr>
      <w:tabs>
        <w:tab w:val="center" w:pos="4153"/>
        <w:tab w:val="right" w:pos="8306"/>
      </w:tabs>
      <w:snapToGrid w:val="0"/>
      <w:jc w:val="left"/>
    </w:pPr>
    <w:rPr>
      <w:sz w:val="18"/>
      <w:szCs w:val="18"/>
    </w:rPr>
  </w:style>
  <w:style w:type="paragraph" w:styleId="13">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Body Text Indent 3"/>
    <w:basedOn w:val="1"/>
    <w:unhideWhenUsed/>
    <w:qFormat/>
    <w:uiPriority w:val="99"/>
    <w:pPr>
      <w:spacing w:line="360" w:lineRule="auto"/>
      <w:ind w:firstLine="420" w:firstLineChars="200"/>
    </w:pPr>
  </w:style>
  <w:style w:type="character" w:styleId="16">
    <w:name w:val="endnote reference"/>
    <w:unhideWhenUsed/>
    <w:qFormat/>
    <w:uiPriority w:val="99"/>
    <w:rPr>
      <w:vertAlign w:val="superscript"/>
    </w:rPr>
  </w:style>
  <w:style w:type="character" w:styleId="17">
    <w:name w:val="annotation reference"/>
    <w:unhideWhenUsed/>
    <w:qFormat/>
    <w:uiPriority w:val="99"/>
    <w:rPr>
      <w:sz w:val="21"/>
      <w:szCs w:val="21"/>
    </w:rPr>
  </w:style>
  <w:style w:type="paragraph" w:customStyle="1" w:styleId="19">
    <w:name w:val="_Style 3"/>
    <w:next w:val="14"/>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0">
    <w:name w:val="表格字体"/>
    <w:basedOn w:val="1"/>
    <w:link w:val="35"/>
    <w:qFormat/>
    <w:uiPriority w:val="0"/>
    <w:pPr>
      <w:adjustRightInd w:val="0"/>
      <w:snapToGrid w:val="0"/>
      <w:spacing w:before="40" w:after="40"/>
    </w:pPr>
    <w:rPr>
      <w:rFonts w:hAnsi="宋体" w:eastAsia="等线"/>
      <w:sz w:val="24"/>
      <w:szCs w:val="24"/>
    </w:rPr>
  </w:style>
  <w:style w:type="paragraph" w:customStyle="1" w:styleId="21">
    <w:name w:val="_Style 18"/>
    <w:unhideWhenUsed/>
    <w:qFormat/>
    <w:uiPriority w:val="99"/>
    <w:rPr>
      <w:rFonts w:ascii="宋体" w:hAnsi="Calibri" w:eastAsia="宋体" w:cs="Times New Roman"/>
      <w:kern w:val="2"/>
      <w:sz w:val="21"/>
      <w:szCs w:val="22"/>
      <w:lang w:val="en-US" w:eastAsia="zh-CN" w:bidi="ar-SA"/>
    </w:rPr>
  </w:style>
  <w:style w:type="paragraph" w:customStyle="1" w:styleId="22">
    <w:name w:val="列表段落1"/>
    <w:basedOn w:val="1"/>
    <w:qFormat/>
    <w:uiPriority w:val="99"/>
    <w:pPr>
      <w:ind w:firstLine="420" w:firstLineChars="200"/>
    </w:pPr>
  </w:style>
  <w:style w:type="paragraph" w:customStyle="1" w:styleId="23">
    <w:name w:val="列表段落2"/>
    <w:basedOn w:val="1"/>
    <w:qFormat/>
    <w:uiPriority w:val="34"/>
    <w:pPr>
      <w:ind w:firstLine="420" w:firstLineChars="200"/>
    </w:pPr>
    <w:rPr>
      <w:rFonts w:ascii="Calibri"/>
    </w:rPr>
  </w:style>
  <w:style w:type="paragraph" w:customStyle="1" w:styleId="24">
    <w:name w:val="Table Paragraph"/>
    <w:basedOn w:val="1"/>
    <w:qFormat/>
    <w:uiPriority w:val="99"/>
    <w:pPr>
      <w:autoSpaceDE w:val="0"/>
      <w:autoSpaceDN w:val="0"/>
      <w:adjustRightInd w:val="0"/>
      <w:jc w:val="left"/>
    </w:pPr>
    <w:rPr>
      <w:rFonts w:hAnsi="宋体" w:cs="宋体"/>
      <w:kern w:val="0"/>
      <w:sz w:val="24"/>
      <w:szCs w:val="24"/>
    </w:rPr>
  </w:style>
  <w:style w:type="character" w:customStyle="1" w:styleId="25">
    <w:name w:val="标题 1 字符"/>
    <w:link w:val="3"/>
    <w:qFormat/>
    <w:uiPriority w:val="9"/>
    <w:rPr>
      <w:rFonts w:ascii="等线" w:hAnsi="等线"/>
      <w:b/>
      <w:bCs/>
      <w:kern w:val="44"/>
      <w:sz w:val="36"/>
      <w:szCs w:val="44"/>
    </w:rPr>
  </w:style>
  <w:style w:type="character" w:customStyle="1" w:styleId="26">
    <w:name w:val="标题 2 字符"/>
    <w:link w:val="4"/>
    <w:qFormat/>
    <w:uiPriority w:val="9"/>
    <w:rPr>
      <w:rFonts w:ascii="Cambria" w:hAnsi="Cambria" w:eastAsia="宋体" w:cs="Times New Roman"/>
      <w:b/>
      <w:bCs/>
      <w:kern w:val="2"/>
      <w:sz w:val="32"/>
      <w:szCs w:val="32"/>
    </w:rPr>
  </w:style>
  <w:style w:type="character" w:customStyle="1" w:styleId="27">
    <w:name w:val="标题 3 字符"/>
    <w:link w:val="5"/>
    <w:qFormat/>
    <w:uiPriority w:val="9"/>
    <w:rPr>
      <w:rFonts w:ascii="等线" w:hAnsi="等线"/>
      <w:b/>
      <w:bCs/>
      <w:kern w:val="2"/>
      <w:sz w:val="28"/>
      <w:szCs w:val="32"/>
    </w:rPr>
  </w:style>
  <w:style w:type="character" w:customStyle="1" w:styleId="28">
    <w:name w:val="标题 4 字符"/>
    <w:link w:val="6"/>
    <w:qFormat/>
    <w:uiPriority w:val="9"/>
    <w:rPr>
      <w:rFonts w:ascii="Cambria" w:hAnsi="Cambria" w:eastAsia="宋体" w:cs="Times New Roman"/>
      <w:b/>
      <w:bCs/>
      <w:kern w:val="2"/>
      <w:sz w:val="28"/>
      <w:szCs w:val="28"/>
    </w:rPr>
  </w:style>
  <w:style w:type="character" w:customStyle="1" w:styleId="29">
    <w:name w:val="批注文字 字符"/>
    <w:link w:val="8"/>
    <w:semiHidden/>
    <w:qFormat/>
    <w:uiPriority w:val="99"/>
    <w:rPr>
      <w:kern w:val="2"/>
      <w:sz w:val="21"/>
      <w:szCs w:val="22"/>
    </w:rPr>
  </w:style>
  <w:style w:type="character" w:customStyle="1" w:styleId="30">
    <w:name w:val="尾注文本 字符"/>
    <w:link w:val="10"/>
    <w:semiHidden/>
    <w:qFormat/>
    <w:uiPriority w:val="99"/>
    <w:rPr>
      <w:kern w:val="2"/>
      <w:sz w:val="21"/>
      <w:szCs w:val="22"/>
    </w:rPr>
  </w:style>
  <w:style w:type="character" w:customStyle="1" w:styleId="31">
    <w:name w:val="批注框文本 字符"/>
    <w:link w:val="11"/>
    <w:semiHidden/>
    <w:qFormat/>
    <w:uiPriority w:val="99"/>
    <w:rPr>
      <w:kern w:val="2"/>
      <w:sz w:val="18"/>
      <w:szCs w:val="18"/>
    </w:rPr>
  </w:style>
  <w:style w:type="character" w:customStyle="1" w:styleId="32">
    <w:name w:val="页脚 字符"/>
    <w:link w:val="12"/>
    <w:qFormat/>
    <w:uiPriority w:val="99"/>
    <w:rPr>
      <w:kern w:val="2"/>
      <w:sz w:val="18"/>
      <w:szCs w:val="18"/>
    </w:rPr>
  </w:style>
  <w:style w:type="character" w:customStyle="1" w:styleId="33">
    <w:name w:val="页眉 字符"/>
    <w:link w:val="13"/>
    <w:qFormat/>
    <w:uiPriority w:val="99"/>
    <w:rPr>
      <w:kern w:val="2"/>
      <w:sz w:val="18"/>
      <w:szCs w:val="18"/>
    </w:rPr>
  </w:style>
  <w:style w:type="character" w:customStyle="1" w:styleId="34">
    <w:name w:val="批注主题 字符"/>
    <w:link w:val="7"/>
    <w:semiHidden/>
    <w:qFormat/>
    <w:uiPriority w:val="99"/>
    <w:rPr>
      <w:b/>
      <w:bCs/>
      <w:kern w:val="2"/>
      <w:sz w:val="21"/>
      <w:szCs w:val="22"/>
    </w:rPr>
  </w:style>
  <w:style w:type="character" w:customStyle="1" w:styleId="35">
    <w:name w:val="表格字体 Char"/>
    <w:link w:val="20"/>
    <w:qFormat/>
    <w:uiPriority w:val="0"/>
    <w:rPr>
      <w:rFonts w:ascii="宋体" w:hAnsi="宋体" w:eastAsia="等线"/>
      <w:kern w:val="2"/>
      <w:sz w:val="24"/>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microsoft.com/office/2006/relationships/keyMapCustomizations" Target="customizations.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876</Words>
  <Characters>4998</Characters>
  <Lines>41</Lines>
  <Paragraphs>11</Paragraphs>
  <ScaleCrop>false</ScaleCrop>
  <LinksUpToDate>false</LinksUpToDate>
  <CharactersWithSpaces>5863</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2019-08-28T08:50:00Z</dcterms:created>
  <dc:creator>Sing</dc:creator>
  <cp:lastModifiedBy>张小星</cp:lastModifiedBy>
  <cp:lastPrinted>2022-09-25T06:59:00Z</cp:lastPrinted>
  <dcterms:modified xsi:type="dcterms:W3CDTF">2022-11-13T09:40:50Z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y fmtid="{D5CDD505-2E9C-101B-9397-08002B2CF9AE}" pid="3" name="ICV">
    <vt:lpwstr>428AC22CBE874C368731AE9980CF8A54</vt:lpwstr>
  </property>
</Properties>
</file>